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25" w:rsidRDefault="004C2157" w:rsidP="00057125">
      <w:pPr>
        <w:spacing w:beforeLines="100" w:before="312" w:line="480" w:lineRule="auto"/>
        <w:jc w:val="center"/>
        <w:rPr>
          <w:b/>
          <w:sz w:val="28"/>
          <w:szCs w:val="28"/>
        </w:rPr>
      </w:pPr>
      <w:r>
        <w:rPr>
          <w:b/>
          <w:sz w:val="28"/>
          <w:szCs w:val="28"/>
        </w:rPr>
        <w:t>新</w:t>
      </w:r>
      <w:r w:rsidR="008238ED">
        <w:rPr>
          <w:b/>
          <w:sz w:val="28"/>
          <w:szCs w:val="28"/>
        </w:rPr>
        <w:t>冠疫情对</w:t>
      </w:r>
      <w:r w:rsidR="008238ED">
        <w:rPr>
          <w:rFonts w:hint="eastAsia"/>
          <w:b/>
          <w:sz w:val="28"/>
          <w:szCs w:val="28"/>
        </w:rPr>
        <w:t>股市</w:t>
      </w:r>
      <w:r w:rsidR="008238ED">
        <w:rPr>
          <w:b/>
          <w:sz w:val="28"/>
          <w:szCs w:val="28"/>
        </w:rPr>
        <w:t>的影响</w:t>
      </w:r>
    </w:p>
    <w:p w:rsidR="00275889" w:rsidRDefault="00057125" w:rsidP="00057125">
      <w:pPr>
        <w:spacing w:afterLines="100" w:after="312" w:line="480" w:lineRule="auto"/>
        <w:jc w:val="center"/>
        <w:rPr>
          <w:sz w:val="28"/>
          <w:szCs w:val="28"/>
        </w:rPr>
      </w:pPr>
      <w:r>
        <w:rPr>
          <w:rFonts w:hint="eastAsia"/>
          <w:b/>
          <w:sz w:val="28"/>
          <w:szCs w:val="28"/>
        </w:rPr>
        <w:t xml:space="preserve"> </w:t>
      </w:r>
      <w:r>
        <w:rPr>
          <w:b/>
          <w:sz w:val="28"/>
          <w:szCs w:val="28"/>
        </w:rPr>
        <w:t xml:space="preserve">                      </w:t>
      </w:r>
      <w:r w:rsidRPr="00057125">
        <w:rPr>
          <w:sz w:val="28"/>
          <w:szCs w:val="28"/>
        </w:rPr>
        <w:t xml:space="preserve">  </w:t>
      </w:r>
      <w:r w:rsidRPr="00057125">
        <w:rPr>
          <w:rFonts w:hint="eastAsia"/>
          <w:sz w:val="28"/>
          <w:szCs w:val="28"/>
        </w:rPr>
        <w:t>--</w:t>
      </w:r>
      <w:r w:rsidRPr="00057125">
        <w:rPr>
          <w:rFonts w:hint="eastAsia"/>
          <w:sz w:val="28"/>
          <w:szCs w:val="28"/>
        </w:rPr>
        <w:t>以法律为视角</w:t>
      </w:r>
    </w:p>
    <w:p w:rsidR="005B6039" w:rsidRPr="005B6039" w:rsidRDefault="005B6039" w:rsidP="005B6039">
      <w:pPr>
        <w:spacing w:afterLines="100" w:after="312" w:line="480" w:lineRule="auto"/>
        <w:jc w:val="right"/>
        <w:rPr>
          <w:rFonts w:hint="eastAsia"/>
          <w:sz w:val="21"/>
          <w:szCs w:val="21"/>
        </w:rPr>
      </w:pPr>
      <w:r>
        <w:rPr>
          <w:sz w:val="21"/>
          <w:szCs w:val="21"/>
        </w:rPr>
        <w:t>文</w:t>
      </w:r>
      <w:r>
        <w:rPr>
          <w:rFonts w:hint="eastAsia"/>
          <w:sz w:val="21"/>
          <w:szCs w:val="21"/>
        </w:rPr>
        <w:t>/</w:t>
      </w:r>
      <w:r>
        <w:rPr>
          <w:sz w:val="21"/>
          <w:szCs w:val="21"/>
        </w:rPr>
        <w:t>匡双礼</w:t>
      </w:r>
      <w:r>
        <w:rPr>
          <w:rFonts w:hint="eastAsia"/>
          <w:sz w:val="21"/>
          <w:szCs w:val="21"/>
        </w:rPr>
        <w:t xml:space="preserve"> </w:t>
      </w:r>
      <w:r>
        <w:rPr>
          <w:rFonts w:hint="eastAsia"/>
          <w:sz w:val="21"/>
          <w:szCs w:val="21"/>
        </w:rPr>
        <w:t>谢金莲</w:t>
      </w:r>
    </w:p>
    <w:p w:rsidR="00275889" w:rsidRDefault="008238ED" w:rsidP="009A350F">
      <w:pPr>
        <w:spacing w:beforeLines="50" w:before="156" w:afterLines="50" w:after="156" w:line="312" w:lineRule="auto"/>
        <w:ind w:firstLineChars="200" w:firstLine="480"/>
        <w:rPr>
          <w:b/>
        </w:rPr>
      </w:pPr>
      <w:r>
        <w:rPr>
          <w:rFonts w:hint="eastAsia"/>
        </w:rPr>
        <w:t>春节假期本是举国欢庆时刻，一场新型冠状病毒感染的肺炎疫情却骤然来袭，全国各地陆续打响防控肺炎疫情的阻击战。肺炎疫情的持续扰乱了社会秩序，给国家、社会带来各种影响、困难，甚至造成人身、财产及经济损失。自肺炎疫情发生以来，党中央、国务院高度重视，积极决策部署，为打赢肺炎疫情防控阻击战指明了前进方向，提供了有力保障。为贯彻落实党中央、</w:t>
      </w:r>
      <w:bookmarkStart w:id="0" w:name="_GoBack"/>
      <w:bookmarkEnd w:id="0"/>
      <w:r>
        <w:rPr>
          <w:rFonts w:hint="eastAsia"/>
        </w:rPr>
        <w:t>国务院的决策部署，支持防控肺炎疫情，确保特殊时期的各项业务稳妥有序开展，保障广大投资者安全与合法权益，保障股市平稳运行，证监会、沪深交易所亦主动作为，积极采取应对措施。</w:t>
      </w:r>
    </w:p>
    <w:p w:rsidR="00275889" w:rsidRDefault="008238ED" w:rsidP="009A350F">
      <w:pPr>
        <w:spacing w:beforeLines="50" w:before="156" w:afterLines="50" w:after="156" w:line="360" w:lineRule="auto"/>
        <w:ind w:firstLineChars="200" w:firstLine="482"/>
        <w:rPr>
          <w:b/>
        </w:rPr>
      </w:pPr>
      <w:r>
        <w:rPr>
          <w:rFonts w:hint="eastAsia"/>
          <w:b/>
        </w:rPr>
        <w:t>一、证监会、沪深交易所目前对防控肺炎疫情的相关支持性规定</w:t>
      </w:r>
    </w:p>
    <w:p w:rsidR="00477FC7" w:rsidRDefault="008238ED" w:rsidP="009A350F">
      <w:pPr>
        <w:spacing w:beforeLines="50" w:before="156" w:afterLines="50" w:after="156" w:line="312" w:lineRule="auto"/>
        <w:ind w:firstLineChars="200" w:firstLine="480"/>
      </w:pPr>
      <w:r>
        <w:rPr>
          <w:rFonts w:hint="eastAsia"/>
        </w:rPr>
        <w:t>2020</w:t>
      </w:r>
      <w:r>
        <w:rPr>
          <w:rFonts w:hint="eastAsia"/>
        </w:rPr>
        <w:t>年</w:t>
      </w:r>
      <w:r>
        <w:rPr>
          <w:rFonts w:hint="eastAsia"/>
        </w:rPr>
        <w:t>1</w:t>
      </w:r>
      <w:r>
        <w:rPr>
          <w:rFonts w:hint="eastAsia"/>
        </w:rPr>
        <w:t>月</w:t>
      </w:r>
      <w:r>
        <w:rPr>
          <w:rFonts w:hint="eastAsia"/>
        </w:rPr>
        <w:t>27</w:t>
      </w:r>
      <w:r>
        <w:rPr>
          <w:rFonts w:hint="eastAsia"/>
        </w:rPr>
        <w:t>日，沪深交易所发布通知，延长</w:t>
      </w:r>
      <w:r>
        <w:rPr>
          <w:rFonts w:hint="eastAsia"/>
        </w:rPr>
        <w:t>2020</w:t>
      </w:r>
      <w:r>
        <w:rPr>
          <w:rFonts w:hint="eastAsia"/>
        </w:rPr>
        <w:t>年春节休市至</w:t>
      </w:r>
      <w:r>
        <w:rPr>
          <w:rFonts w:hint="eastAsia"/>
        </w:rPr>
        <w:t>2</w:t>
      </w:r>
      <w:r>
        <w:rPr>
          <w:rFonts w:hint="eastAsia"/>
        </w:rPr>
        <w:t>月</w:t>
      </w:r>
      <w:r>
        <w:rPr>
          <w:rFonts w:hint="eastAsia"/>
        </w:rPr>
        <w:t>2</w:t>
      </w:r>
      <w:r>
        <w:rPr>
          <w:rFonts w:hint="eastAsia"/>
        </w:rPr>
        <w:t>日，</w:t>
      </w:r>
      <w:r>
        <w:rPr>
          <w:rFonts w:hint="eastAsia"/>
        </w:rPr>
        <w:t>2</w:t>
      </w:r>
      <w:r>
        <w:rPr>
          <w:rFonts w:hint="eastAsia"/>
        </w:rPr>
        <w:t>月</w:t>
      </w:r>
      <w:r>
        <w:rPr>
          <w:rFonts w:hint="eastAsia"/>
        </w:rPr>
        <w:t>3</w:t>
      </w:r>
      <w:r>
        <w:rPr>
          <w:rFonts w:hint="eastAsia"/>
        </w:rPr>
        <w:t>日正常开市。</w:t>
      </w:r>
    </w:p>
    <w:p w:rsidR="00477FC7" w:rsidRDefault="008238ED" w:rsidP="009A350F">
      <w:pPr>
        <w:spacing w:beforeLines="50" w:before="156" w:afterLines="50" w:after="156" w:line="312" w:lineRule="auto"/>
        <w:ind w:firstLineChars="200" w:firstLine="480"/>
      </w:pPr>
      <w:r>
        <w:rPr>
          <w:rFonts w:hint="eastAsia"/>
        </w:rPr>
        <w:t>2020</w:t>
      </w:r>
      <w:r>
        <w:rPr>
          <w:rFonts w:hint="eastAsia"/>
        </w:rPr>
        <w:t>年</w:t>
      </w:r>
      <w:r>
        <w:rPr>
          <w:rFonts w:hint="eastAsia"/>
        </w:rPr>
        <w:t>1</w:t>
      </w:r>
      <w:r>
        <w:rPr>
          <w:rFonts w:hint="eastAsia"/>
        </w:rPr>
        <w:t>月</w:t>
      </w:r>
      <w:r>
        <w:rPr>
          <w:rFonts w:hint="eastAsia"/>
        </w:rPr>
        <w:t>28</w:t>
      </w:r>
      <w:r>
        <w:rPr>
          <w:rFonts w:hint="eastAsia"/>
        </w:rPr>
        <w:t>日，证监会办公厅发布《关于做好新型冠状病毒感染的肺炎疫情防控工作的通知》（证监办发〔</w:t>
      </w:r>
      <w:r>
        <w:rPr>
          <w:rFonts w:hint="eastAsia"/>
        </w:rPr>
        <w:t>2020</w:t>
      </w:r>
      <w:r>
        <w:rPr>
          <w:rFonts w:hint="eastAsia"/>
        </w:rPr>
        <w:t>〕</w:t>
      </w:r>
      <w:r>
        <w:rPr>
          <w:rFonts w:hint="eastAsia"/>
        </w:rPr>
        <w:t>9</w:t>
      </w:r>
      <w:r>
        <w:rPr>
          <w:rFonts w:hint="eastAsia"/>
        </w:rPr>
        <w:t>号），要求各证券基金期货经营机构改进服务方式、维护业务稳定、引导理性投资、关心关爱员工；各上市公司依法依规做好相关信息披露工作、积极履行社会责任；各交易所、中国结算等单位切实保障市场交易、结算等工作正常进行、引导因疫情防控受到影响的上市公司按照相关规则履行信息披露义务等。</w:t>
      </w:r>
    </w:p>
    <w:p w:rsidR="00477FC7" w:rsidRDefault="008238ED" w:rsidP="009A350F">
      <w:pPr>
        <w:spacing w:beforeLines="50" w:before="156" w:afterLines="50" w:after="156" w:line="312" w:lineRule="auto"/>
        <w:ind w:firstLineChars="200" w:firstLine="480"/>
      </w:pPr>
      <w:r>
        <w:rPr>
          <w:rFonts w:hint="eastAsia"/>
        </w:rPr>
        <w:t>2020</w:t>
      </w:r>
      <w:r>
        <w:rPr>
          <w:rFonts w:hint="eastAsia"/>
        </w:rPr>
        <w:t>年</w:t>
      </w:r>
      <w:r>
        <w:rPr>
          <w:rFonts w:hint="eastAsia"/>
        </w:rPr>
        <w:t>2</w:t>
      </w:r>
      <w:r>
        <w:rPr>
          <w:rFonts w:hint="eastAsia"/>
        </w:rPr>
        <w:t>月</w:t>
      </w:r>
      <w:r>
        <w:rPr>
          <w:rFonts w:hint="eastAsia"/>
        </w:rPr>
        <w:t>1</w:t>
      </w:r>
      <w:r>
        <w:rPr>
          <w:rFonts w:hint="eastAsia"/>
        </w:rPr>
        <w:t>日，中国人民银行、财政部、银保监会、证监会及外汇局联合发布《关于进一步强化金融支持防控新型冠状病毒感染肺炎疫情的通知》（银发〔</w:t>
      </w:r>
      <w:r>
        <w:rPr>
          <w:rFonts w:hint="eastAsia"/>
        </w:rPr>
        <w:t>2020</w:t>
      </w:r>
      <w:r>
        <w:rPr>
          <w:rFonts w:hint="eastAsia"/>
        </w:rPr>
        <w:t>〕</w:t>
      </w:r>
      <w:r>
        <w:rPr>
          <w:rFonts w:hint="eastAsia"/>
        </w:rPr>
        <w:t>29</w:t>
      </w:r>
      <w:r>
        <w:rPr>
          <w:rFonts w:hint="eastAsia"/>
        </w:rPr>
        <w:t>号）（以下简称“银发〔</w:t>
      </w:r>
      <w:r>
        <w:rPr>
          <w:rFonts w:hint="eastAsia"/>
        </w:rPr>
        <w:t>2020</w:t>
      </w:r>
      <w:r>
        <w:rPr>
          <w:rFonts w:hint="eastAsia"/>
        </w:rPr>
        <w:t>〕</w:t>
      </w:r>
      <w:r>
        <w:rPr>
          <w:rFonts w:hint="eastAsia"/>
        </w:rPr>
        <w:t>29</w:t>
      </w:r>
      <w:r>
        <w:rPr>
          <w:rFonts w:hint="eastAsia"/>
        </w:rPr>
        <w:t>号《通知》”），明确要灵活妥善调整企业信息披露等监管事项、适当放宽资本市场相关业务办理时限、减免疫情严重地区公司上市等部分费用，进一步强化金融对疫情防控工作的支持。</w:t>
      </w:r>
    </w:p>
    <w:p w:rsidR="00D03D28" w:rsidRDefault="00D03D28" w:rsidP="009A350F">
      <w:pPr>
        <w:spacing w:beforeLines="50" w:before="156" w:afterLines="50" w:after="156" w:line="312" w:lineRule="auto"/>
        <w:ind w:firstLineChars="200" w:firstLine="480"/>
      </w:pPr>
      <w:r>
        <w:rPr>
          <w:rFonts w:hint="eastAsia"/>
        </w:rPr>
        <w:t>2020</w:t>
      </w:r>
      <w:r>
        <w:rPr>
          <w:rFonts w:hint="eastAsia"/>
        </w:rPr>
        <w:t>年</w:t>
      </w:r>
      <w:r>
        <w:rPr>
          <w:rFonts w:hint="eastAsia"/>
        </w:rPr>
        <w:t>2</w:t>
      </w:r>
      <w:r>
        <w:rPr>
          <w:rFonts w:hint="eastAsia"/>
        </w:rPr>
        <w:t>月</w:t>
      </w:r>
      <w:r>
        <w:rPr>
          <w:rFonts w:hint="eastAsia"/>
        </w:rPr>
        <w:t>1</w:t>
      </w:r>
      <w:r>
        <w:rPr>
          <w:rFonts w:hint="eastAsia"/>
        </w:rPr>
        <w:t>日，深圳证券交易所发布《</w:t>
      </w:r>
      <w:r w:rsidRPr="00D03D28">
        <w:rPr>
          <w:rFonts w:hint="eastAsia"/>
        </w:rPr>
        <w:t>关于全力支持上市公司等市场主体坚决打赢防控新型冠状病毒感染肺炎疫情阻击战的通知</w:t>
      </w:r>
      <w:r>
        <w:rPr>
          <w:rFonts w:hint="eastAsia"/>
        </w:rPr>
        <w:t>》（</w:t>
      </w:r>
      <w:r w:rsidRPr="00D03D28">
        <w:rPr>
          <w:rFonts w:hint="eastAsia"/>
        </w:rPr>
        <w:t>深证上〔</w:t>
      </w:r>
      <w:r w:rsidRPr="00D03D28">
        <w:rPr>
          <w:rFonts w:hint="eastAsia"/>
        </w:rPr>
        <w:t>2020</w:t>
      </w:r>
      <w:r w:rsidRPr="00D03D28">
        <w:rPr>
          <w:rFonts w:hint="eastAsia"/>
        </w:rPr>
        <w:t>〕</w:t>
      </w:r>
      <w:r w:rsidRPr="00D03D28">
        <w:rPr>
          <w:rFonts w:hint="eastAsia"/>
        </w:rPr>
        <w:t>67</w:t>
      </w:r>
      <w:r w:rsidRPr="00D03D28">
        <w:rPr>
          <w:rFonts w:hint="eastAsia"/>
        </w:rPr>
        <w:t>号</w:t>
      </w:r>
      <w:r>
        <w:rPr>
          <w:rFonts w:hint="eastAsia"/>
        </w:rPr>
        <w:t>）（以下简称“</w:t>
      </w:r>
      <w:r w:rsidRPr="00D03D28">
        <w:rPr>
          <w:rFonts w:hint="eastAsia"/>
        </w:rPr>
        <w:t>深证上〔</w:t>
      </w:r>
      <w:r w:rsidRPr="00D03D28">
        <w:rPr>
          <w:rFonts w:hint="eastAsia"/>
        </w:rPr>
        <w:t>2020</w:t>
      </w:r>
      <w:r w:rsidRPr="00D03D28">
        <w:rPr>
          <w:rFonts w:hint="eastAsia"/>
        </w:rPr>
        <w:t>〕</w:t>
      </w:r>
      <w:r w:rsidRPr="00D03D28">
        <w:rPr>
          <w:rFonts w:hint="eastAsia"/>
        </w:rPr>
        <w:t>67</w:t>
      </w:r>
      <w:r w:rsidRPr="00D03D28">
        <w:rPr>
          <w:rFonts w:hint="eastAsia"/>
        </w:rPr>
        <w:t>号</w:t>
      </w:r>
      <w:r>
        <w:rPr>
          <w:rFonts w:hint="eastAsia"/>
        </w:rPr>
        <w:t>《通知》”），</w:t>
      </w:r>
      <w:r w:rsidRPr="00D03D28">
        <w:rPr>
          <w:rFonts w:hint="eastAsia"/>
        </w:rPr>
        <w:t>针对特殊时期市</w:t>
      </w:r>
      <w:r>
        <w:rPr>
          <w:rFonts w:hint="eastAsia"/>
        </w:rPr>
        <w:t>场主体实际需</w:t>
      </w:r>
      <w:r>
        <w:rPr>
          <w:rFonts w:hint="eastAsia"/>
        </w:rPr>
        <w:lastRenderedPageBreak/>
        <w:t>求作出相应安排，改进市场服务方式，优化业务操作安排</w:t>
      </w:r>
      <w:r w:rsidRPr="00D03D28">
        <w:rPr>
          <w:rFonts w:hint="eastAsia"/>
        </w:rPr>
        <w:t>，提供有弹性、有温度的一线监管和市场服务，促进市场各项业务稳定运行</w:t>
      </w:r>
      <w:r>
        <w:rPr>
          <w:rFonts w:hint="eastAsia"/>
        </w:rPr>
        <w:t>。</w:t>
      </w:r>
    </w:p>
    <w:p w:rsidR="00477FC7" w:rsidRDefault="008238ED" w:rsidP="009A350F">
      <w:pPr>
        <w:spacing w:beforeLines="50" w:before="156" w:afterLines="50" w:after="156" w:line="312" w:lineRule="auto"/>
        <w:ind w:firstLineChars="200" w:firstLine="480"/>
      </w:pPr>
      <w:r>
        <w:rPr>
          <w:rFonts w:hint="eastAsia"/>
        </w:rPr>
        <w:t>2020</w:t>
      </w:r>
      <w:r>
        <w:rPr>
          <w:rFonts w:hint="eastAsia"/>
        </w:rPr>
        <w:t>年</w:t>
      </w:r>
      <w:r>
        <w:rPr>
          <w:rFonts w:hint="eastAsia"/>
        </w:rPr>
        <w:t>2</w:t>
      </w:r>
      <w:r>
        <w:rPr>
          <w:rFonts w:hint="eastAsia"/>
        </w:rPr>
        <w:t>月</w:t>
      </w:r>
      <w:r>
        <w:rPr>
          <w:rFonts w:hint="eastAsia"/>
        </w:rPr>
        <w:t>2</w:t>
      </w:r>
      <w:r>
        <w:rPr>
          <w:rFonts w:hint="eastAsia"/>
        </w:rPr>
        <w:t>日，上海证券交易所发布《关于全力支持防控新型冠状病毒感染肺炎疫情相关监管业务安排的通知》（上证函〔</w:t>
      </w:r>
      <w:r>
        <w:rPr>
          <w:rFonts w:hint="eastAsia"/>
        </w:rPr>
        <w:t>2020</w:t>
      </w:r>
      <w:r>
        <w:rPr>
          <w:rFonts w:hint="eastAsia"/>
        </w:rPr>
        <w:t>〕</w:t>
      </w:r>
      <w:r>
        <w:rPr>
          <w:rFonts w:hint="eastAsia"/>
        </w:rPr>
        <w:t>202</w:t>
      </w:r>
      <w:r>
        <w:rPr>
          <w:rFonts w:hint="eastAsia"/>
        </w:rPr>
        <w:t>号）（以下简称“上证函〔</w:t>
      </w:r>
      <w:r>
        <w:rPr>
          <w:rFonts w:hint="eastAsia"/>
        </w:rPr>
        <w:t>2020</w:t>
      </w:r>
      <w:r>
        <w:rPr>
          <w:rFonts w:hint="eastAsia"/>
        </w:rPr>
        <w:t>〕</w:t>
      </w:r>
      <w:r>
        <w:rPr>
          <w:rFonts w:hint="eastAsia"/>
        </w:rPr>
        <w:t>202</w:t>
      </w:r>
      <w:r>
        <w:rPr>
          <w:rFonts w:hint="eastAsia"/>
        </w:rPr>
        <w:t>号《通知》”），旨在就疫情防控特殊时期上市公司信息披露等相关业务实施做出调整和衔接安排，优化服务方式，提供专门服务通道和在线业务操作便利，降低重点地区市场机构运行成本，保障各项业务稳妥有序开展，保护广大投资者健康安全与合法权益。</w:t>
      </w:r>
    </w:p>
    <w:p w:rsidR="00477FC7" w:rsidRDefault="008238ED" w:rsidP="009A350F">
      <w:pPr>
        <w:spacing w:beforeLines="50" w:before="156" w:afterLines="50" w:after="156" w:line="312" w:lineRule="auto"/>
        <w:ind w:firstLineChars="200" w:firstLine="480"/>
      </w:pPr>
      <w:r>
        <w:rPr>
          <w:rFonts w:hint="eastAsia"/>
        </w:rPr>
        <w:t>2020</w:t>
      </w:r>
      <w:r>
        <w:rPr>
          <w:rFonts w:hint="eastAsia"/>
        </w:rPr>
        <w:t>年</w:t>
      </w:r>
      <w:r>
        <w:rPr>
          <w:rFonts w:hint="eastAsia"/>
        </w:rPr>
        <w:t>2</w:t>
      </w:r>
      <w:r>
        <w:rPr>
          <w:rFonts w:hint="eastAsia"/>
        </w:rPr>
        <w:t>月</w:t>
      </w:r>
      <w:r>
        <w:rPr>
          <w:rFonts w:hint="eastAsia"/>
        </w:rPr>
        <w:t>3</w:t>
      </w:r>
      <w:r>
        <w:rPr>
          <w:rFonts w:hint="eastAsia"/>
        </w:rPr>
        <w:t>日，证监会发行监管部发布《关于发行监管工作支持防控新型冠状病毒感染肺炎疫情相关安排的通知》（发行监管部函〔</w:t>
      </w:r>
      <w:r>
        <w:rPr>
          <w:rFonts w:hint="eastAsia"/>
        </w:rPr>
        <w:t>2020</w:t>
      </w:r>
      <w:r>
        <w:rPr>
          <w:rFonts w:hint="eastAsia"/>
        </w:rPr>
        <w:t>〕</w:t>
      </w:r>
      <w:r>
        <w:rPr>
          <w:rFonts w:hint="eastAsia"/>
        </w:rPr>
        <w:t>137</w:t>
      </w:r>
      <w:r>
        <w:rPr>
          <w:rFonts w:hint="eastAsia"/>
        </w:rPr>
        <w:t>号）（以下简称“发行监管部函〔</w:t>
      </w:r>
      <w:r>
        <w:rPr>
          <w:rFonts w:hint="eastAsia"/>
        </w:rPr>
        <w:t>2020</w:t>
      </w:r>
      <w:r>
        <w:rPr>
          <w:rFonts w:hint="eastAsia"/>
        </w:rPr>
        <w:t>〕</w:t>
      </w:r>
      <w:r>
        <w:rPr>
          <w:rFonts w:hint="eastAsia"/>
        </w:rPr>
        <w:t>137</w:t>
      </w:r>
      <w:r>
        <w:rPr>
          <w:rFonts w:hint="eastAsia"/>
        </w:rPr>
        <w:t>号《通知》”），规定暂缓对发行上市等相关审核时限进行计算。</w:t>
      </w:r>
    </w:p>
    <w:p w:rsidR="009D5EE3" w:rsidRDefault="008238ED" w:rsidP="009A350F">
      <w:pPr>
        <w:spacing w:beforeLines="50" w:before="156" w:afterLines="50" w:after="156" w:line="360" w:lineRule="auto"/>
        <w:ind w:firstLineChars="200" w:firstLine="482"/>
        <w:rPr>
          <w:b/>
        </w:rPr>
      </w:pPr>
      <w:r>
        <w:rPr>
          <w:rFonts w:hint="eastAsia"/>
          <w:b/>
        </w:rPr>
        <w:t>二、肺炎疫情对股市的主要影响</w:t>
      </w:r>
    </w:p>
    <w:p w:rsidR="009D5EE3" w:rsidRDefault="008238ED" w:rsidP="009A350F">
      <w:pPr>
        <w:spacing w:beforeLines="50" w:before="156" w:afterLines="50" w:after="156" w:line="312" w:lineRule="auto"/>
        <w:ind w:firstLineChars="200" w:firstLine="482"/>
        <w:rPr>
          <w:b/>
        </w:rPr>
      </w:pPr>
      <w:r>
        <w:rPr>
          <w:rFonts w:hint="eastAsia"/>
          <w:b/>
        </w:rPr>
        <w:t>（一）肺炎疫情对上市公司信息披露的影响</w:t>
      </w:r>
    </w:p>
    <w:p w:rsidR="009D5EE3" w:rsidRDefault="008238ED" w:rsidP="009A350F">
      <w:pPr>
        <w:spacing w:beforeLines="50" w:before="156" w:afterLines="50" w:after="156" w:line="312" w:lineRule="auto"/>
        <w:ind w:firstLineChars="200" w:firstLine="480"/>
      </w:pPr>
      <w:r>
        <w:rPr>
          <w:rFonts w:hint="eastAsia"/>
        </w:rPr>
        <w:t>根据《上海证券交易所股票上市规则》、《上海证券交易所科创板股票上市规则》、《深圳证券交易所股票上市规则》及《深圳证券交易所创业板股票上市规则》的相关规定，上市公司应当在每个会计年度结束之日起</w:t>
      </w:r>
      <w:r>
        <w:rPr>
          <w:rFonts w:hint="eastAsia"/>
        </w:rPr>
        <w:t>4</w:t>
      </w:r>
      <w:r>
        <w:rPr>
          <w:rFonts w:hint="eastAsia"/>
        </w:rPr>
        <w:t>个月内编制完成并披露年度报告；第一季度报告应当在每个会计年度前</w:t>
      </w:r>
      <w:r>
        <w:rPr>
          <w:rFonts w:hint="eastAsia"/>
        </w:rPr>
        <w:t>3</w:t>
      </w:r>
      <w:r>
        <w:rPr>
          <w:rFonts w:hint="eastAsia"/>
        </w:rPr>
        <w:t>个月结束后的</w:t>
      </w:r>
      <w:r>
        <w:rPr>
          <w:rFonts w:hint="eastAsia"/>
        </w:rPr>
        <w:t>1</w:t>
      </w:r>
      <w:r>
        <w:rPr>
          <w:rFonts w:hint="eastAsia"/>
        </w:rPr>
        <w:t>个月内编制完成并披露；上市公司预计年度经营业绩将出现净利润为负值等特定情形的，应当及时进行业绩预告；对于科创板、创业板上市公司，如预计不能在会计年度结束之日起</w:t>
      </w:r>
      <w:r>
        <w:rPr>
          <w:rFonts w:hint="eastAsia"/>
        </w:rPr>
        <w:t>2</w:t>
      </w:r>
      <w:r>
        <w:rPr>
          <w:rFonts w:hint="eastAsia"/>
        </w:rPr>
        <w:t>个月内披露年度报告，应当在该会计年度结束后</w:t>
      </w:r>
      <w:r>
        <w:rPr>
          <w:rFonts w:hint="eastAsia"/>
        </w:rPr>
        <w:t>2</w:t>
      </w:r>
      <w:r>
        <w:rPr>
          <w:rFonts w:hint="eastAsia"/>
        </w:rPr>
        <w:t>个月内披露业绩快报。</w:t>
      </w:r>
    </w:p>
    <w:p w:rsidR="009D5EE3" w:rsidRDefault="008238ED" w:rsidP="009A350F">
      <w:pPr>
        <w:spacing w:beforeLines="50" w:before="156" w:afterLines="50" w:after="156" w:line="312" w:lineRule="auto"/>
        <w:ind w:firstLineChars="200" w:firstLine="480"/>
      </w:pPr>
      <w:r>
        <w:rPr>
          <w:rFonts w:hint="eastAsia"/>
        </w:rPr>
        <w:t>为有效控制肺炎疫情蔓延，国家、地方采取了延长春节假期、封锁特定城市、隔离观察等措施，对上市公司按时披露年度报告、第一季度报告、业绩预告、业绩快报会造成一定影响。</w:t>
      </w:r>
    </w:p>
    <w:p w:rsidR="009D5EE3" w:rsidRDefault="008238ED" w:rsidP="009A350F">
      <w:pPr>
        <w:spacing w:beforeLines="50" w:before="156" w:afterLines="50" w:after="156" w:line="312" w:lineRule="auto"/>
        <w:ind w:firstLineChars="200" w:firstLine="480"/>
      </w:pPr>
      <w:r>
        <w:rPr>
          <w:rFonts w:hint="eastAsia"/>
        </w:rPr>
        <w:t>根据沪深交易所发布的关于调整</w:t>
      </w:r>
      <w:r>
        <w:rPr>
          <w:rFonts w:hint="eastAsia"/>
        </w:rPr>
        <w:t>2020</w:t>
      </w:r>
      <w:r>
        <w:rPr>
          <w:rFonts w:hint="eastAsia"/>
        </w:rPr>
        <w:t>年春节休市相关安排的通知，上市公司</w:t>
      </w:r>
      <w:r>
        <w:rPr>
          <w:rFonts w:hint="eastAsia"/>
        </w:rPr>
        <w:t>2019</w:t>
      </w:r>
      <w:r>
        <w:rPr>
          <w:rFonts w:hint="eastAsia"/>
        </w:rPr>
        <w:t>年度业绩预告最晚披露日顺延至</w:t>
      </w:r>
      <w:r>
        <w:rPr>
          <w:rFonts w:hint="eastAsia"/>
        </w:rPr>
        <w:t>2</w:t>
      </w:r>
      <w:r>
        <w:rPr>
          <w:rFonts w:hint="eastAsia"/>
        </w:rPr>
        <w:t>月</w:t>
      </w:r>
      <w:r>
        <w:rPr>
          <w:rFonts w:hint="eastAsia"/>
        </w:rPr>
        <w:t>3</w:t>
      </w:r>
      <w:r>
        <w:rPr>
          <w:rFonts w:hint="eastAsia"/>
        </w:rPr>
        <w:t>日。</w:t>
      </w:r>
      <w:r w:rsidR="009D5EE3" w:rsidRPr="00741264">
        <w:t>2</w:t>
      </w:r>
      <w:r w:rsidR="009D5EE3" w:rsidRPr="00741264">
        <w:rPr>
          <w:rFonts w:hint="eastAsia"/>
        </w:rPr>
        <w:t>月</w:t>
      </w:r>
      <w:r w:rsidR="009D5EE3" w:rsidRPr="00741264">
        <w:t>3</w:t>
      </w:r>
      <w:r w:rsidR="009D5EE3" w:rsidRPr="00741264">
        <w:rPr>
          <w:rFonts w:hint="eastAsia"/>
        </w:rPr>
        <w:t>日，多家上市公司披露了业绩预告</w:t>
      </w:r>
      <w:r w:rsidR="00F853EB" w:rsidRPr="00741264">
        <w:rPr>
          <w:rFonts w:hint="eastAsia"/>
        </w:rPr>
        <w:t>，下表列示部分</w:t>
      </w:r>
      <w:r w:rsidR="004937CE" w:rsidRPr="00741264">
        <w:rPr>
          <w:rFonts w:hint="eastAsia"/>
        </w:rPr>
        <w:t>该等</w:t>
      </w:r>
      <w:r w:rsidR="00F853EB" w:rsidRPr="00741264">
        <w:rPr>
          <w:rFonts w:hint="eastAsia"/>
        </w:rPr>
        <w:t>上市公司名单：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096"/>
        <w:gridCol w:w="2449"/>
        <w:gridCol w:w="2541"/>
        <w:gridCol w:w="2214"/>
      </w:tblGrid>
      <w:tr w:rsidR="00C43F5E" w:rsidRPr="00AF7640" w:rsidTr="0026426C">
        <w:trPr>
          <w:tblHeader/>
        </w:trPr>
        <w:tc>
          <w:tcPr>
            <w:tcW w:w="660" w:type="pct"/>
            <w:vAlign w:val="center"/>
          </w:tcPr>
          <w:p w:rsidR="00477FC7" w:rsidRDefault="00C43F5E" w:rsidP="009A350F">
            <w:pPr>
              <w:widowControl/>
              <w:spacing w:beforeLines="30" w:before="93" w:afterLines="30" w:after="93"/>
              <w:jc w:val="center"/>
              <w:rPr>
                <w:rFonts w:cs="Times New Roman"/>
                <w:b/>
                <w:bCs/>
                <w:color w:val="212529"/>
                <w:kern w:val="0"/>
                <w:szCs w:val="24"/>
              </w:rPr>
            </w:pPr>
            <w:r w:rsidRPr="00375E59">
              <w:rPr>
                <w:rFonts w:hAnsi="楷体" w:cs="Times New Roman"/>
                <w:b/>
                <w:bCs/>
                <w:color w:val="212529"/>
                <w:kern w:val="0"/>
                <w:szCs w:val="24"/>
              </w:rPr>
              <w:t>序号</w:t>
            </w:r>
          </w:p>
        </w:tc>
        <w:tc>
          <w:tcPr>
            <w:tcW w:w="1475" w:type="pct"/>
            <w:shd w:val="clear" w:color="auto" w:fill="auto"/>
            <w:vAlign w:val="center"/>
            <w:hideMark/>
          </w:tcPr>
          <w:p w:rsidR="00477FC7" w:rsidRDefault="00C43F5E" w:rsidP="009A350F">
            <w:pPr>
              <w:widowControl/>
              <w:spacing w:beforeLines="30" w:before="93" w:afterLines="30" w:after="93"/>
              <w:jc w:val="center"/>
              <w:rPr>
                <w:rFonts w:cs="Times New Roman"/>
                <w:b/>
                <w:bCs/>
                <w:color w:val="212529"/>
                <w:kern w:val="0"/>
                <w:szCs w:val="24"/>
              </w:rPr>
            </w:pPr>
            <w:r>
              <w:rPr>
                <w:rFonts w:hAnsi="楷体" w:cs="Times New Roman" w:hint="eastAsia"/>
                <w:b/>
                <w:bCs/>
                <w:color w:val="212529"/>
                <w:kern w:val="0"/>
                <w:szCs w:val="24"/>
              </w:rPr>
              <w:t>上市</w:t>
            </w:r>
            <w:r>
              <w:rPr>
                <w:rFonts w:hAnsi="楷体" w:cs="Times New Roman"/>
                <w:b/>
                <w:bCs/>
                <w:color w:val="212529"/>
                <w:kern w:val="0"/>
                <w:szCs w:val="24"/>
              </w:rPr>
              <w:t>公司简称</w:t>
            </w:r>
          </w:p>
        </w:tc>
        <w:tc>
          <w:tcPr>
            <w:tcW w:w="1531" w:type="pct"/>
            <w:shd w:val="clear" w:color="auto" w:fill="auto"/>
            <w:vAlign w:val="center"/>
            <w:hideMark/>
          </w:tcPr>
          <w:p w:rsidR="00477FC7" w:rsidRDefault="00C43F5E" w:rsidP="009A350F">
            <w:pPr>
              <w:widowControl/>
              <w:spacing w:beforeLines="30" w:before="93" w:afterLines="30" w:after="93"/>
              <w:jc w:val="center"/>
              <w:rPr>
                <w:rFonts w:cs="Times New Roman"/>
                <w:b/>
                <w:bCs/>
                <w:color w:val="212529"/>
                <w:kern w:val="0"/>
                <w:szCs w:val="24"/>
              </w:rPr>
            </w:pPr>
            <w:r>
              <w:rPr>
                <w:rFonts w:hAnsi="楷体" w:cs="Times New Roman"/>
                <w:b/>
                <w:bCs/>
                <w:color w:val="212529"/>
                <w:kern w:val="0"/>
                <w:szCs w:val="24"/>
              </w:rPr>
              <w:t>股票代码</w:t>
            </w:r>
          </w:p>
        </w:tc>
        <w:tc>
          <w:tcPr>
            <w:tcW w:w="1334" w:type="pct"/>
            <w:shd w:val="clear" w:color="auto" w:fill="auto"/>
            <w:vAlign w:val="center"/>
            <w:hideMark/>
          </w:tcPr>
          <w:p w:rsidR="00477FC7" w:rsidRDefault="00C43F5E" w:rsidP="009A350F">
            <w:pPr>
              <w:widowControl/>
              <w:spacing w:beforeLines="30" w:before="93" w:afterLines="30" w:after="93"/>
              <w:jc w:val="center"/>
              <w:rPr>
                <w:rFonts w:cs="Times New Roman"/>
                <w:b/>
                <w:bCs/>
                <w:color w:val="212529"/>
                <w:kern w:val="0"/>
                <w:szCs w:val="24"/>
              </w:rPr>
            </w:pPr>
            <w:r>
              <w:rPr>
                <w:rFonts w:hAnsi="楷体" w:cs="Times New Roman"/>
                <w:b/>
                <w:bCs/>
                <w:color w:val="212529"/>
                <w:kern w:val="0"/>
                <w:szCs w:val="24"/>
              </w:rPr>
              <w:t>公告时间</w:t>
            </w:r>
          </w:p>
        </w:tc>
      </w:tr>
      <w:tr w:rsidR="00C43F5E" w:rsidRPr="00AF7640" w:rsidTr="0026426C">
        <w:tc>
          <w:tcPr>
            <w:tcW w:w="660" w:type="pct"/>
            <w:vAlign w:val="center"/>
          </w:tcPr>
          <w:p w:rsidR="00C43F5E" w:rsidRPr="00375E59" w:rsidRDefault="00C43F5E"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C43F5E" w:rsidRPr="00AF7640" w:rsidRDefault="00300A20" w:rsidP="009A350F">
            <w:pPr>
              <w:widowControl/>
              <w:spacing w:beforeLines="30" w:before="93" w:afterLines="30" w:after="93"/>
              <w:jc w:val="center"/>
              <w:rPr>
                <w:rFonts w:cs="Times New Roman"/>
                <w:color w:val="212529"/>
                <w:kern w:val="0"/>
                <w:szCs w:val="24"/>
              </w:rPr>
            </w:pPr>
            <w:r>
              <w:rPr>
                <w:rFonts w:cs="Times New Roman"/>
                <w:color w:val="212529"/>
                <w:kern w:val="0"/>
                <w:szCs w:val="24"/>
              </w:rPr>
              <w:t>山鹰纸业</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600567</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泰林生物</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300813</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汉嘉设计</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300746</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兆丰股份</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300695</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紫天科技</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300280</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华中数控</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300161</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F70825" w:rsidRPr="00AF7640" w:rsidTr="0026426C">
        <w:tc>
          <w:tcPr>
            <w:tcW w:w="660" w:type="pct"/>
            <w:vAlign w:val="center"/>
          </w:tcPr>
          <w:p w:rsidR="00F70825" w:rsidRPr="00375E59" w:rsidRDefault="00F70825"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F70825" w:rsidRDefault="00F70825" w:rsidP="009A350F">
            <w:pPr>
              <w:widowControl/>
              <w:spacing w:beforeLines="30" w:before="93" w:afterLines="30" w:after="93"/>
              <w:jc w:val="center"/>
              <w:rPr>
                <w:rFonts w:cs="Times New Roman"/>
                <w:color w:val="212529"/>
                <w:kern w:val="0"/>
                <w:szCs w:val="24"/>
              </w:rPr>
            </w:pPr>
            <w:r>
              <w:rPr>
                <w:rFonts w:cs="Times New Roman"/>
                <w:color w:val="212529"/>
                <w:kern w:val="0"/>
                <w:szCs w:val="24"/>
              </w:rPr>
              <w:t>巴安水务</w:t>
            </w:r>
          </w:p>
        </w:tc>
        <w:tc>
          <w:tcPr>
            <w:tcW w:w="1531"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300262</w:t>
            </w:r>
          </w:p>
        </w:tc>
        <w:tc>
          <w:tcPr>
            <w:tcW w:w="1334"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华夏航空</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002928</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科大讯飞</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002230</w:t>
            </w:r>
          </w:p>
        </w:tc>
        <w:tc>
          <w:tcPr>
            <w:tcW w:w="1334"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2729A7" w:rsidRPr="00AF7640" w:rsidTr="0026426C">
        <w:tc>
          <w:tcPr>
            <w:tcW w:w="660" w:type="pct"/>
            <w:vAlign w:val="center"/>
          </w:tcPr>
          <w:p w:rsidR="002729A7" w:rsidRPr="00375E59" w:rsidRDefault="002729A7"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2729A7" w:rsidRDefault="002729A7" w:rsidP="009A350F">
            <w:pPr>
              <w:widowControl/>
              <w:spacing w:beforeLines="30" w:before="93" w:afterLines="30" w:after="93"/>
              <w:jc w:val="center"/>
              <w:rPr>
                <w:rFonts w:cs="Times New Roman"/>
                <w:color w:val="212529"/>
                <w:kern w:val="0"/>
                <w:szCs w:val="24"/>
              </w:rPr>
            </w:pPr>
            <w:r>
              <w:rPr>
                <w:rFonts w:cs="Times New Roman"/>
                <w:color w:val="212529"/>
                <w:kern w:val="0"/>
                <w:szCs w:val="24"/>
              </w:rPr>
              <w:t>安奈儿</w:t>
            </w:r>
          </w:p>
        </w:tc>
        <w:tc>
          <w:tcPr>
            <w:tcW w:w="1531" w:type="pct"/>
            <w:shd w:val="clear" w:color="auto" w:fill="auto"/>
            <w:vAlign w:val="center"/>
            <w:hideMark/>
          </w:tcPr>
          <w:p w:rsidR="00477FC7" w:rsidRDefault="002729A7"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00287</w:t>
            </w:r>
            <w:r w:rsidR="00F70825">
              <w:rPr>
                <w:rFonts w:cs="Times New Roman" w:hint="eastAsia"/>
                <w:color w:val="212529"/>
                <w:kern w:val="0"/>
                <w:szCs w:val="24"/>
              </w:rPr>
              <w:t>5</w:t>
            </w:r>
          </w:p>
        </w:tc>
        <w:tc>
          <w:tcPr>
            <w:tcW w:w="1334"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F70825" w:rsidRPr="00AF7640" w:rsidTr="0026426C">
        <w:tc>
          <w:tcPr>
            <w:tcW w:w="660" w:type="pct"/>
            <w:vAlign w:val="center"/>
          </w:tcPr>
          <w:p w:rsidR="00F70825" w:rsidRPr="00375E59" w:rsidRDefault="00F70825"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F70825" w:rsidRDefault="00F70825" w:rsidP="009A350F">
            <w:pPr>
              <w:widowControl/>
              <w:spacing w:beforeLines="30" w:before="93" w:afterLines="30" w:after="93"/>
              <w:jc w:val="center"/>
              <w:rPr>
                <w:rFonts w:cs="Times New Roman"/>
                <w:color w:val="212529"/>
                <w:kern w:val="0"/>
                <w:szCs w:val="24"/>
              </w:rPr>
            </w:pPr>
            <w:r>
              <w:rPr>
                <w:rFonts w:cs="Times New Roman"/>
                <w:color w:val="212529"/>
                <w:kern w:val="0"/>
                <w:szCs w:val="24"/>
              </w:rPr>
              <w:t>美芝股份</w:t>
            </w:r>
          </w:p>
        </w:tc>
        <w:tc>
          <w:tcPr>
            <w:tcW w:w="1531"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002856</w:t>
            </w:r>
          </w:p>
        </w:tc>
        <w:tc>
          <w:tcPr>
            <w:tcW w:w="1334"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r w:rsidR="00F70825" w:rsidRPr="00AF7640" w:rsidTr="0026426C">
        <w:tc>
          <w:tcPr>
            <w:tcW w:w="660" w:type="pct"/>
            <w:vAlign w:val="center"/>
          </w:tcPr>
          <w:p w:rsidR="00F70825" w:rsidRPr="00375E59" w:rsidRDefault="00F70825" w:rsidP="009A350F">
            <w:pPr>
              <w:pStyle w:val="a7"/>
              <w:widowControl/>
              <w:numPr>
                <w:ilvl w:val="0"/>
                <w:numId w:val="1"/>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F70825" w:rsidRDefault="00F70825" w:rsidP="009A350F">
            <w:pPr>
              <w:widowControl/>
              <w:spacing w:beforeLines="30" w:before="93" w:afterLines="30" w:after="93"/>
              <w:jc w:val="center"/>
              <w:rPr>
                <w:rFonts w:cs="Times New Roman"/>
                <w:color w:val="212529"/>
                <w:kern w:val="0"/>
                <w:szCs w:val="24"/>
              </w:rPr>
            </w:pPr>
            <w:r>
              <w:rPr>
                <w:rFonts w:cs="Times New Roman"/>
                <w:color w:val="212529"/>
                <w:kern w:val="0"/>
                <w:szCs w:val="24"/>
              </w:rPr>
              <w:t>跨境通</w:t>
            </w:r>
          </w:p>
        </w:tc>
        <w:tc>
          <w:tcPr>
            <w:tcW w:w="1531"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002640</w:t>
            </w:r>
          </w:p>
        </w:tc>
        <w:tc>
          <w:tcPr>
            <w:tcW w:w="1334" w:type="pct"/>
            <w:shd w:val="clear" w:color="auto" w:fill="auto"/>
            <w:vAlign w:val="center"/>
            <w:hideMark/>
          </w:tcPr>
          <w:p w:rsidR="00477FC7" w:rsidRDefault="00F70825"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2020-02-03</w:t>
            </w:r>
          </w:p>
        </w:tc>
      </w:tr>
    </w:tbl>
    <w:p w:rsidR="008875E6" w:rsidRDefault="008238ED" w:rsidP="009A350F">
      <w:pPr>
        <w:spacing w:beforeLines="50" w:before="156" w:afterLines="50" w:after="156" w:line="312" w:lineRule="auto"/>
        <w:ind w:firstLineChars="200" w:firstLine="480"/>
      </w:pPr>
      <w:r>
        <w:rPr>
          <w:rFonts w:hint="eastAsia"/>
        </w:rPr>
        <w:t>根据银发〔</w:t>
      </w:r>
      <w:r>
        <w:rPr>
          <w:rFonts w:hint="eastAsia"/>
        </w:rPr>
        <w:t>2020</w:t>
      </w:r>
      <w:r>
        <w:rPr>
          <w:rFonts w:hint="eastAsia"/>
        </w:rPr>
        <w:t>〕</w:t>
      </w:r>
      <w:r>
        <w:rPr>
          <w:rFonts w:hint="eastAsia"/>
        </w:rPr>
        <w:t>29</w:t>
      </w:r>
      <w:r>
        <w:rPr>
          <w:rFonts w:hint="eastAsia"/>
        </w:rPr>
        <w:t>号《通知》，上市公司受疫情影响</w:t>
      </w:r>
      <w:r w:rsidR="00322512">
        <w:rPr>
          <w:rFonts w:hint="eastAsia"/>
        </w:rPr>
        <w:t>，难以按期披露业绩预告或业绩快报的，可向证券交易所申请延期办理；</w:t>
      </w:r>
      <w:r>
        <w:rPr>
          <w:rFonts w:hint="eastAsia"/>
        </w:rPr>
        <w:t>难以在原预约日期披露</w:t>
      </w:r>
      <w:r>
        <w:rPr>
          <w:rFonts w:hint="eastAsia"/>
        </w:rPr>
        <w:t>2019</w:t>
      </w:r>
      <w:r>
        <w:rPr>
          <w:rFonts w:hint="eastAsia"/>
        </w:rPr>
        <w:t>年年度报告的，可向证券交易所申请延期至</w:t>
      </w:r>
      <w:r>
        <w:rPr>
          <w:rFonts w:hint="eastAsia"/>
        </w:rPr>
        <w:t>2020</w:t>
      </w:r>
      <w:r>
        <w:rPr>
          <w:rFonts w:hint="eastAsia"/>
        </w:rPr>
        <w:t>年</w:t>
      </w:r>
      <w:r>
        <w:rPr>
          <w:rFonts w:hint="eastAsia"/>
        </w:rPr>
        <w:t>4</w:t>
      </w:r>
      <w:r>
        <w:rPr>
          <w:rFonts w:hint="eastAsia"/>
        </w:rPr>
        <w:t>月</w:t>
      </w:r>
      <w:r>
        <w:rPr>
          <w:rFonts w:hint="eastAsia"/>
        </w:rPr>
        <w:t>30</w:t>
      </w:r>
      <w:r>
        <w:rPr>
          <w:rFonts w:hint="eastAsia"/>
        </w:rPr>
        <w:t>日前披露。</w:t>
      </w:r>
    </w:p>
    <w:p w:rsidR="003F2E11" w:rsidRPr="003F2E11" w:rsidRDefault="003F2E11" w:rsidP="009A350F">
      <w:pPr>
        <w:spacing w:beforeLines="50" w:before="156" w:afterLines="50" w:after="156" w:line="312" w:lineRule="auto"/>
        <w:ind w:firstLineChars="200" w:firstLine="480"/>
      </w:pPr>
      <w:r>
        <w:rPr>
          <w:rFonts w:hint="eastAsia"/>
        </w:rPr>
        <w:t>根据</w:t>
      </w:r>
      <w:r w:rsidRPr="00D03D28">
        <w:rPr>
          <w:rFonts w:hint="eastAsia"/>
        </w:rPr>
        <w:t>深证上〔</w:t>
      </w:r>
      <w:r w:rsidRPr="00D03D28">
        <w:rPr>
          <w:rFonts w:hint="eastAsia"/>
        </w:rPr>
        <w:t>2020</w:t>
      </w:r>
      <w:r w:rsidRPr="00D03D28">
        <w:rPr>
          <w:rFonts w:hint="eastAsia"/>
        </w:rPr>
        <w:t>〕</w:t>
      </w:r>
      <w:r w:rsidRPr="00D03D28">
        <w:rPr>
          <w:rFonts w:hint="eastAsia"/>
        </w:rPr>
        <w:t>67</w:t>
      </w:r>
      <w:r w:rsidRPr="00D03D28">
        <w:rPr>
          <w:rFonts w:hint="eastAsia"/>
        </w:rPr>
        <w:t>号</w:t>
      </w:r>
      <w:r>
        <w:rPr>
          <w:rFonts w:hint="eastAsia"/>
        </w:rPr>
        <w:t>《通知》，</w:t>
      </w:r>
      <w:r w:rsidRPr="003F2E11">
        <w:rPr>
          <w:rFonts w:hint="eastAsia"/>
        </w:rPr>
        <w:t>上市公司受疫情影响，难以按期披露业绩预告或业绩快报的，可申请延期办理；难以在原预约日期披露</w:t>
      </w:r>
      <w:r w:rsidRPr="003F2E11">
        <w:rPr>
          <w:rFonts w:hint="eastAsia"/>
        </w:rPr>
        <w:t>2019</w:t>
      </w:r>
      <w:r w:rsidRPr="003F2E11">
        <w:rPr>
          <w:rFonts w:hint="eastAsia"/>
        </w:rPr>
        <w:t>年年报的，可申请延期至</w:t>
      </w:r>
      <w:r w:rsidRPr="003F2E11">
        <w:rPr>
          <w:rFonts w:hint="eastAsia"/>
        </w:rPr>
        <w:t>2020</w:t>
      </w:r>
      <w:r w:rsidRPr="003F2E11">
        <w:rPr>
          <w:rFonts w:hint="eastAsia"/>
        </w:rPr>
        <w:t>年</w:t>
      </w:r>
      <w:r w:rsidRPr="003F2E11">
        <w:rPr>
          <w:rFonts w:hint="eastAsia"/>
        </w:rPr>
        <w:t>4</w:t>
      </w:r>
      <w:r w:rsidRPr="003F2E11">
        <w:rPr>
          <w:rFonts w:hint="eastAsia"/>
        </w:rPr>
        <w:t>月</w:t>
      </w:r>
      <w:r w:rsidRPr="003F2E11">
        <w:rPr>
          <w:rFonts w:hint="eastAsia"/>
        </w:rPr>
        <w:t>30</w:t>
      </w:r>
      <w:r w:rsidRPr="003F2E11">
        <w:rPr>
          <w:rFonts w:hint="eastAsia"/>
        </w:rPr>
        <w:t>日前披露</w:t>
      </w:r>
      <w:r>
        <w:rPr>
          <w:rFonts w:hint="eastAsia"/>
        </w:rPr>
        <w:t>；</w:t>
      </w:r>
      <w:r w:rsidRPr="003F2E11">
        <w:rPr>
          <w:rFonts w:hint="eastAsia"/>
        </w:rPr>
        <w:t>在法定期限内披露</w:t>
      </w:r>
      <w:r w:rsidRPr="003F2E11">
        <w:rPr>
          <w:rFonts w:hint="eastAsia"/>
        </w:rPr>
        <w:t>2019</w:t>
      </w:r>
      <w:r w:rsidRPr="003F2E11">
        <w:rPr>
          <w:rFonts w:hint="eastAsia"/>
        </w:rPr>
        <w:t>年年报或</w:t>
      </w:r>
      <w:r w:rsidRPr="003F2E11">
        <w:rPr>
          <w:rFonts w:hint="eastAsia"/>
        </w:rPr>
        <w:t>2020</w:t>
      </w:r>
      <w:r w:rsidRPr="003F2E11">
        <w:rPr>
          <w:rFonts w:hint="eastAsia"/>
        </w:rPr>
        <w:t>年第一季度季报有困难的，</w:t>
      </w:r>
      <w:r>
        <w:rPr>
          <w:rFonts w:hint="eastAsia"/>
        </w:rPr>
        <w:t>深圳证券交易所将按</w:t>
      </w:r>
      <w:r w:rsidRPr="003F2E11">
        <w:rPr>
          <w:rFonts w:hint="eastAsia"/>
        </w:rPr>
        <w:t>证监会统一部署依法妥善安排</w:t>
      </w:r>
      <w:r>
        <w:rPr>
          <w:rFonts w:hint="eastAsia"/>
        </w:rPr>
        <w:t>。</w:t>
      </w:r>
    </w:p>
    <w:p w:rsidR="003F2E11" w:rsidRDefault="008238ED" w:rsidP="009A350F">
      <w:pPr>
        <w:spacing w:beforeLines="50" w:before="156" w:afterLines="50" w:after="156" w:line="312" w:lineRule="auto"/>
        <w:ind w:firstLineChars="200" w:firstLine="480"/>
      </w:pPr>
      <w:r>
        <w:rPr>
          <w:rFonts w:hint="eastAsia"/>
        </w:rPr>
        <w:t>根据上证函〔</w:t>
      </w:r>
      <w:r>
        <w:rPr>
          <w:rFonts w:hint="eastAsia"/>
        </w:rPr>
        <w:t>2020</w:t>
      </w:r>
      <w:r>
        <w:rPr>
          <w:rFonts w:hint="eastAsia"/>
        </w:rPr>
        <w:t>〕</w:t>
      </w:r>
      <w:r>
        <w:rPr>
          <w:rFonts w:hint="eastAsia"/>
        </w:rPr>
        <w:t>202</w:t>
      </w:r>
      <w:r>
        <w:rPr>
          <w:rFonts w:hint="eastAsia"/>
        </w:rPr>
        <w:t>号《通知》，上市公司如因受疫情影响，预计难以在原预约日期披露</w:t>
      </w:r>
      <w:r>
        <w:rPr>
          <w:rFonts w:hint="eastAsia"/>
        </w:rPr>
        <w:t>2019</w:t>
      </w:r>
      <w:r>
        <w:rPr>
          <w:rFonts w:hint="eastAsia"/>
        </w:rPr>
        <w:t>年年度报告、在</w:t>
      </w:r>
      <w:r>
        <w:rPr>
          <w:rFonts w:hint="eastAsia"/>
        </w:rPr>
        <w:t>2020</w:t>
      </w:r>
      <w:r>
        <w:rPr>
          <w:rFonts w:hint="eastAsia"/>
        </w:rPr>
        <w:t>年</w:t>
      </w:r>
      <w:r>
        <w:rPr>
          <w:rFonts w:hint="eastAsia"/>
        </w:rPr>
        <w:t>4</w:t>
      </w:r>
      <w:r>
        <w:rPr>
          <w:rFonts w:hint="eastAsia"/>
        </w:rPr>
        <w:t>月</w:t>
      </w:r>
      <w:r>
        <w:rPr>
          <w:rFonts w:hint="eastAsia"/>
        </w:rPr>
        <w:t>30</w:t>
      </w:r>
      <w:r>
        <w:rPr>
          <w:rFonts w:hint="eastAsia"/>
        </w:rPr>
        <w:t>日前披露</w:t>
      </w:r>
      <w:r>
        <w:rPr>
          <w:rFonts w:hint="eastAsia"/>
        </w:rPr>
        <w:t>2019</w:t>
      </w:r>
      <w:r>
        <w:rPr>
          <w:rFonts w:hint="eastAsia"/>
        </w:rPr>
        <w:t>年年度报告或</w:t>
      </w:r>
      <w:r>
        <w:rPr>
          <w:rFonts w:hint="eastAsia"/>
        </w:rPr>
        <w:t>2020</w:t>
      </w:r>
      <w:r>
        <w:rPr>
          <w:rFonts w:hint="eastAsia"/>
        </w:rPr>
        <w:t>年第一季度报告的，可以依规向上海证券交易所公司监管部门申请办理延期至</w:t>
      </w:r>
      <w:r>
        <w:rPr>
          <w:rFonts w:hint="eastAsia"/>
        </w:rPr>
        <w:t>2020</w:t>
      </w:r>
      <w:r>
        <w:rPr>
          <w:rFonts w:hint="eastAsia"/>
        </w:rPr>
        <w:t>年</w:t>
      </w:r>
      <w:r>
        <w:rPr>
          <w:rFonts w:hint="eastAsia"/>
        </w:rPr>
        <w:t>4</w:t>
      </w:r>
      <w:r>
        <w:rPr>
          <w:rFonts w:hint="eastAsia"/>
        </w:rPr>
        <w:t>月</w:t>
      </w:r>
      <w:r>
        <w:rPr>
          <w:rFonts w:hint="eastAsia"/>
        </w:rPr>
        <w:t>30</w:t>
      </w:r>
      <w:r>
        <w:rPr>
          <w:rFonts w:hint="eastAsia"/>
        </w:rPr>
        <w:t>日前披露或向其通报相关情况，上海证券交易所将根据证监会统一部署，抓紧研究确定相关应对安排。如因受疫情影响，上市公司预计难以按规定在</w:t>
      </w:r>
      <w:r>
        <w:rPr>
          <w:rFonts w:hint="eastAsia"/>
        </w:rPr>
        <w:t>2020</w:t>
      </w:r>
      <w:r>
        <w:rPr>
          <w:rFonts w:hint="eastAsia"/>
        </w:rPr>
        <w:t>年</w:t>
      </w:r>
      <w:r>
        <w:rPr>
          <w:rFonts w:hint="eastAsia"/>
        </w:rPr>
        <w:t>1</w:t>
      </w:r>
      <w:r>
        <w:rPr>
          <w:rFonts w:hint="eastAsia"/>
        </w:rPr>
        <w:t>月底前披露业绩预告或科创板上市公司预计难以按规定在</w:t>
      </w:r>
      <w:r>
        <w:rPr>
          <w:rFonts w:hint="eastAsia"/>
        </w:rPr>
        <w:t>2020</w:t>
      </w:r>
      <w:r>
        <w:rPr>
          <w:rFonts w:hint="eastAsia"/>
        </w:rPr>
        <w:t>年</w:t>
      </w:r>
      <w:r>
        <w:rPr>
          <w:rFonts w:hint="eastAsia"/>
        </w:rPr>
        <w:t>2</w:t>
      </w:r>
      <w:r>
        <w:rPr>
          <w:rFonts w:hint="eastAsia"/>
        </w:rPr>
        <w:t>月底前披露业绩快报的，可以向上海证券交易所公司监管部门申请办理延期。</w:t>
      </w:r>
    </w:p>
    <w:p w:rsidR="009D5EE3" w:rsidRDefault="008238ED" w:rsidP="009A350F">
      <w:pPr>
        <w:spacing w:beforeLines="50" w:before="156" w:afterLines="50" w:after="156" w:line="312" w:lineRule="auto"/>
        <w:ind w:firstLineChars="200" w:firstLine="480"/>
      </w:pPr>
      <w:r>
        <w:rPr>
          <w:rFonts w:hint="eastAsia"/>
        </w:rPr>
        <w:t>除此之外，肺炎疫情还会对上市公司并购重组</w:t>
      </w:r>
      <w:r w:rsidR="002D2D4E">
        <w:rPr>
          <w:rFonts w:hint="eastAsia"/>
        </w:rPr>
        <w:t>、发行股票、可转换公司债券等</w:t>
      </w:r>
      <w:r>
        <w:rPr>
          <w:rFonts w:hint="eastAsia"/>
        </w:rPr>
        <w:t>项目按期更新财务资料、召开股东大会产生一定影响。根据银发〔</w:t>
      </w:r>
      <w:r>
        <w:rPr>
          <w:rFonts w:hint="eastAsia"/>
        </w:rPr>
        <w:t>2020</w:t>
      </w:r>
      <w:r>
        <w:rPr>
          <w:rFonts w:hint="eastAsia"/>
        </w:rPr>
        <w:t>〕</w:t>
      </w:r>
      <w:r>
        <w:rPr>
          <w:rFonts w:hint="eastAsia"/>
        </w:rPr>
        <w:t>29</w:t>
      </w:r>
      <w:r>
        <w:rPr>
          <w:rFonts w:hint="eastAsia"/>
        </w:rPr>
        <w:t>号</w:t>
      </w:r>
      <w:r>
        <w:rPr>
          <w:rFonts w:hint="eastAsia"/>
        </w:rPr>
        <w:lastRenderedPageBreak/>
        <w:t>《通知》、上证函〔</w:t>
      </w:r>
      <w:r>
        <w:rPr>
          <w:rFonts w:hint="eastAsia"/>
        </w:rPr>
        <w:t>2020</w:t>
      </w:r>
      <w:r>
        <w:rPr>
          <w:rFonts w:hint="eastAsia"/>
        </w:rPr>
        <w:t>〕</w:t>
      </w:r>
      <w:r>
        <w:rPr>
          <w:rFonts w:hint="eastAsia"/>
        </w:rPr>
        <w:t>202</w:t>
      </w:r>
      <w:r>
        <w:rPr>
          <w:rFonts w:hint="eastAsia"/>
        </w:rPr>
        <w:t>号《通知》</w:t>
      </w:r>
      <w:r w:rsidR="00AB3B48">
        <w:rPr>
          <w:rFonts w:hint="eastAsia"/>
        </w:rPr>
        <w:t>及</w:t>
      </w:r>
      <w:r w:rsidR="00AB3B48" w:rsidRPr="00D03D28">
        <w:rPr>
          <w:rFonts w:hint="eastAsia"/>
        </w:rPr>
        <w:t>深证上〔</w:t>
      </w:r>
      <w:r w:rsidR="00AB3B48" w:rsidRPr="00D03D28">
        <w:rPr>
          <w:rFonts w:hint="eastAsia"/>
        </w:rPr>
        <w:t>2020</w:t>
      </w:r>
      <w:r w:rsidR="00AB3B48" w:rsidRPr="00D03D28">
        <w:rPr>
          <w:rFonts w:hint="eastAsia"/>
        </w:rPr>
        <w:t>〕</w:t>
      </w:r>
      <w:r w:rsidR="00AB3B48" w:rsidRPr="00D03D28">
        <w:rPr>
          <w:rFonts w:hint="eastAsia"/>
        </w:rPr>
        <w:t>67</w:t>
      </w:r>
      <w:r w:rsidR="00AB3B48" w:rsidRPr="00D03D28">
        <w:rPr>
          <w:rFonts w:hint="eastAsia"/>
        </w:rPr>
        <w:t>号</w:t>
      </w:r>
      <w:r w:rsidR="00AB3B48">
        <w:rPr>
          <w:rFonts w:hint="eastAsia"/>
        </w:rPr>
        <w:t>《通知》</w:t>
      </w:r>
      <w:r>
        <w:rPr>
          <w:rFonts w:hint="eastAsia"/>
        </w:rPr>
        <w:t>，如因受疫情影响，上市公司在筹划并购重组过程中确实不能按期更新财务资料或发出股东大会通知的，可在充分披露疫情对本次重组的具体影响后，申请财务资料有效期延长或股东大会通知时间延期</w:t>
      </w:r>
      <w:r>
        <w:rPr>
          <w:rFonts w:hint="eastAsia"/>
        </w:rPr>
        <w:t>1</w:t>
      </w:r>
      <w:r>
        <w:rPr>
          <w:rFonts w:hint="eastAsia"/>
        </w:rPr>
        <w:t>个月，最多可申请延期</w:t>
      </w:r>
      <w:r>
        <w:rPr>
          <w:rFonts w:hint="eastAsia"/>
        </w:rPr>
        <w:t>3</w:t>
      </w:r>
      <w:r>
        <w:rPr>
          <w:rFonts w:hint="eastAsia"/>
        </w:rPr>
        <w:t>次。</w:t>
      </w:r>
    </w:p>
    <w:p w:rsidR="009D5EE3" w:rsidRDefault="008238ED" w:rsidP="009A350F">
      <w:pPr>
        <w:spacing w:beforeLines="50" w:before="156" w:afterLines="50" w:after="156" w:line="312" w:lineRule="auto"/>
        <w:ind w:firstLineChars="200" w:firstLine="480"/>
      </w:pPr>
      <w:r>
        <w:rPr>
          <w:rFonts w:hint="eastAsia"/>
        </w:rPr>
        <w:t>上市公司应当尽早与本公司聘请的负责执行审计的会计师事务所及其他相关中介机构沟通，及早谋划未能按原定时间表完成审计工作、各项报告编制等工作的应对措施。如上市公司受疫情影响，难以按期披露</w:t>
      </w:r>
      <w:r>
        <w:rPr>
          <w:rFonts w:hint="eastAsia"/>
        </w:rPr>
        <w:t>2019</w:t>
      </w:r>
      <w:r>
        <w:rPr>
          <w:rFonts w:hint="eastAsia"/>
        </w:rPr>
        <w:t>年年度报告、</w:t>
      </w:r>
      <w:r>
        <w:rPr>
          <w:rFonts w:hint="eastAsia"/>
        </w:rPr>
        <w:t>2020</w:t>
      </w:r>
      <w:r>
        <w:rPr>
          <w:rFonts w:hint="eastAsia"/>
        </w:rPr>
        <w:t>年第一季度报告、业绩预告、业绩快报或更新财务资料的，应当及时向证监会、证券交易所报告相关情况，按照规定申请延期，确保信息披露的质量。</w:t>
      </w:r>
    </w:p>
    <w:p w:rsidR="009D5EE3" w:rsidRDefault="008238ED" w:rsidP="009A350F">
      <w:pPr>
        <w:spacing w:beforeLines="50" w:before="156" w:afterLines="50" w:after="156" w:line="312" w:lineRule="auto"/>
        <w:ind w:firstLineChars="200" w:firstLine="482"/>
        <w:rPr>
          <w:b/>
        </w:rPr>
      </w:pPr>
      <w:r>
        <w:rPr>
          <w:rFonts w:hint="eastAsia"/>
          <w:b/>
        </w:rPr>
        <w:t>（二）对上市公司财务状况的影响</w:t>
      </w:r>
    </w:p>
    <w:p w:rsidR="009D5EE3" w:rsidRDefault="008238ED" w:rsidP="009A350F">
      <w:pPr>
        <w:spacing w:beforeLines="50" w:before="156" w:afterLines="50" w:after="156" w:line="312" w:lineRule="auto"/>
        <w:ind w:firstLineChars="200" w:firstLine="480"/>
      </w:pPr>
      <w:r>
        <w:rPr>
          <w:rFonts w:asciiTheme="minorHAnsi" w:hAnsiTheme="minorHAnsi"/>
        </w:rPr>
        <w:t>目前</w:t>
      </w:r>
      <w:r>
        <w:rPr>
          <w:rFonts w:hint="eastAsia"/>
        </w:rPr>
        <w:t>距离</w:t>
      </w:r>
      <w:r>
        <w:rPr>
          <w:rFonts w:asciiTheme="minorHAnsi" w:hAnsiTheme="minorHAnsi"/>
        </w:rPr>
        <w:t>有效疫苗出现</w:t>
      </w:r>
      <w:r>
        <w:t>还需一定</w:t>
      </w:r>
      <w:r>
        <w:rPr>
          <w:rFonts w:asciiTheme="minorHAnsi" w:hAnsiTheme="minorHAnsi"/>
        </w:rPr>
        <w:t>时间</w:t>
      </w:r>
      <w:r>
        <w:t>。</w:t>
      </w:r>
      <w:r>
        <w:rPr>
          <w:rFonts w:asciiTheme="minorHAnsi" w:hAnsiTheme="minorHAnsi"/>
        </w:rPr>
        <w:t>在此期间</w:t>
      </w:r>
      <w:r>
        <w:t>，</w:t>
      </w:r>
      <w:r>
        <w:rPr>
          <w:rFonts w:asciiTheme="minorHAnsi" w:hAnsiTheme="minorHAnsi"/>
        </w:rPr>
        <w:t>由于各个省市都</w:t>
      </w:r>
      <w:r>
        <w:rPr>
          <w:rFonts w:hint="eastAsia"/>
        </w:rPr>
        <w:t>在</w:t>
      </w:r>
      <w:r>
        <w:rPr>
          <w:rFonts w:asciiTheme="minorHAnsi" w:hAnsiTheme="minorHAnsi"/>
        </w:rPr>
        <w:t>严查交通，预防疫情进</w:t>
      </w:r>
      <w:r>
        <w:t>一步扩散，有些地方甚至出现不理性的封城、封路等现象，势必影响</w:t>
      </w:r>
      <w:r>
        <w:rPr>
          <w:rFonts w:asciiTheme="minorHAnsi" w:hAnsiTheme="minorHAnsi"/>
        </w:rPr>
        <w:t>商品</w:t>
      </w:r>
      <w:r>
        <w:rPr>
          <w:rFonts w:hint="eastAsia"/>
        </w:rPr>
        <w:t>、</w:t>
      </w:r>
      <w:r>
        <w:t>服务</w:t>
      </w:r>
      <w:r>
        <w:rPr>
          <w:rFonts w:asciiTheme="minorHAnsi" w:hAnsiTheme="minorHAnsi"/>
        </w:rPr>
        <w:t>的正常流通</w:t>
      </w:r>
      <w:r>
        <w:rPr>
          <w:rFonts w:hint="eastAsia"/>
        </w:rPr>
        <w:t>、</w:t>
      </w:r>
      <w:r>
        <w:t>提供</w:t>
      </w:r>
      <w:r>
        <w:rPr>
          <w:rFonts w:hint="eastAsia"/>
        </w:rPr>
        <w:t>；</w:t>
      </w:r>
      <w:r>
        <w:t>加上春节假期延长，企业开工时间普遍往后推迟，对于大部分企业来说，在租金</w:t>
      </w:r>
      <w:r>
        <w:rPr>
          <w:rFonts w:hint="eastAsia"/>
        </w:rPr>
        <w:t>、</w:t>
      </w:r>
      <w:r>
        <w:t>员工工资福利等成本不变的情况下</w:t>
      </w:r>
      <w:r>
        <w:rPr>
          <w:rFonts w:hint="eastAsia"/>
        </w:rPr>
        <w:t>，短期内</w:t>
      </w:r>
      <w:r w:rsidR="00355191">
        <w:t>的业绩下滑可能</w:t>
      </w:r>
      <w:r>
        <w:rPr>
          <w:rFonts w:hint="eastAsia"/>
        </w:rPr>
        <w:t>难以避免，对上市公司而言亦是如此。</w:t>
      </w:r>
    </w:p>
    <w:p w:rsidR="009D5EE3" w:rsidRDefault="008238ED" w:rsidP="009A350F">
      <w:pPr>
        <w:spacing w:beforeLines="50" w:before="156" w:afterLines="50" w:after="156" w:line="312" w:lineRule="auto"/>
        <w:ind w:firstLineChars="200" w:firstLine="480"/>
      </w:pPr>
      <w:r>
        <w:rPr>
          <w:rFonts w:hint="eastAsia"/>
        </w:rPr>
        <w:t>为支持疫情严重地区的上市公司，根据银发〔</w:t>
      </w:r>
      <w:r>
        <w:rPr>
          <w:rFonts w:hint="eastAsia"/>
        </w:rPr>
        <w:t>2020</w:t>
      </w:r>
      <w:r>
        <w:rPr>
          <w:rFonts w:hint="eastAsia"/>
        </w:rPr>
        <w:t>〕</w:t>
      </w:r>
      <w:r>
        <w:rPr>
          <w:rFonts w:hint="eastAsia"/>
        </w:rPr>
        <w:t>29</w:t>
      </w:r>
      <w:r>
        <w:rPr>
          <w:rFonts w:hint="eastAsia"/>
        </w:rPr>
        <w:t>号《通知》、上证函〔</w:t>
      </w:r>
      <w:r>
        <w:rPr>
          <w:rFonts w:hint="eastAsia"/>
        </w:rPr>
        <w:t>2020</w:t>
      </w:r>
      <w:r>
        <w:rPr>
          <w:rFonts w:hint="eastAsia"/>
        </w:rPr>
        <w:t>〕</w:t>
      </w:r>
      <w:r>
        <w:rPr>
          <w:rFonts w:hint="eastAsia"/>
        </w:rPr>
        <w:t>202</w:t>
      </w:r>
      <w:r>
        <w:rPr>
          <w:rFonts w:hint="eastAsia"/>
        </w:rPr>
        <w:t>号《通知》</w:t>
      </w:r>
      <w:r w:rsidR="00EC5C2A">
        <w:rPr>
          <w:rFonts w:hint="eastAsia"/>
        </w:rPr>
        <w:t>及</w:t>
      </w:r>
      <w:r w:rsidR="00EC5C2A" w:rsidRPr="00D03D28">
        <w:rPr>
          <w:rFonts w:hint="eastAsia"/>
        </w:rPr>
        <w:t>深证上〔</w:t>
      </w:r>
      <w:r w:rsidR="00EC5C2A" w:rsidRPr="00D03D28">
        <w:rPr>
          <w:rFonts w:hint="eastAsia"/>
        </w:rPr>
        <w:t>2020</w:t>
      </w:r>
      <w:r w:rsidR="00EC5C2A" w:rsidRPr="00D03D28">
        <w:rPr>
          <w:rFonts w:hint="eastAsia"/>
        </w:rPr>
        <w:t>〕</w:t>
      </w:r>
      <w:r w:rsidR="00EC5C2A" w:rsidRPr="00D03D28">
        <w:rPr>
          <w:rFonts w:hint="eastAsia"/>
        </w:rPr>
        <w:t>67</w:t>
      </w:r>
      <w:r w:rsidR="00EC5C2A" w:rsidRPr="00D03D28">
        <w:rPr>
          <w:rFonts w:hint="eastAsia"/>
        </w:rPr>
        <w:t>号</w:t>
      </w:r>
      <w:r w:rsidR="00EC5C2A">
        <w:rPr>
          <w:rFonts w:hint="eastAsia"/>
        </w:rPr>
        <w:t>《通知》</w:t>
      </w:r>
      <w:r>
        <w:rPr>
          <w:rFonts w:hint="eastAsia"/>
        </w:rPr>
        <w:t>，沪深交易所免收湖北省上市公司</w:t>
      </w:r>
      <w:r>
        <w:rPr>
          <w:rFonts w:hint="eastAsia"/>
        </w:rPr>
        <w:t>2020</w:t>
      </w:r>
      <w:r>
        <w:rPr>
          <w:rFonts w:hint="eastAsia"/>
        </w:rPr>
        <w:t>年上市年费、上市初费。</w:t>
      </w:r>
    </w:p>
    <w:p w:rsidR="009D5EE3" w:rsidRDefault="008238ED" w:rsidP="009A350F">
      <w:pPr>
        <w:widowControl/>
        <w:spacing w:beforeLines="50" w:before="156" w:afterLines="50" w:after="156" w:line="312" w:lineRule="auto"/>
        <w:ind w:firstLineChars="200" w:firstLine="482"/>
        <w:jc w:val="left"/>
        <w:rPr>
          <w:rFonts w:ascii="&amp;quot" w:eastAsia="宋体" w:hAnsi="&amp;quot" w:cs="宋体" w:hint="eastAsia"/>
          <w:b/>
          <w:color w:val="33353C"/>
          <w:kern w:val="0"/>
          <w:szCs w:val="24"/>
        </w:rPr>
      </w:pPr>
      <w:r>
        <w:rPr>
          <w:rFonts w:hint="eastAsia"/>
          <w:b/>
        </w:rPr>
        <w:t>（三）上市公司对市场传闻的回应</w:t>
      </w:r>
    </w:p>
    <w:p w:rsidR="009D5EE3" w:rsidRDefault="008238ED" w:rsidP="009A350F">
      <w:pPr>
        <w:spacing w:beforeLines="50" w:before="156" w:afterLines="50" w:after="156" w:line="312" w:lineRule="auto"/>
        <w:ind w:firstLineChars="200" w:firstLine="480"/>
      </w:pPr>
      <w:r>
        <w:rPr>
          <w:rFonts w:hint="eastAsia"/>
        </w:rPr>
        <w:t>2003</w:t>
      </w:r>
      <w:r>
        <w:rPr>
          <w:rFonts w:hint="eastAsia"/>
        </w:rPr>
        <w:t>年非典时期，传闻醋可以杀死肺炎病毒，恒顺醋业（</w:t>
      </w:r>
      <w:r>
        <w:rPr>
          <w:rFonts w:hint="eastAsia"/>
        </w:rPr>
        <w:t>600305.SH</w:t>
      </w:r>
      <w:r>
        <w:rPr>
          <w:rFonts w:hint="eastAsia"/>
        </w:rPr>
        <w:t>）</w:t>
      </w:r>
      <w:r w:rsidR="001B3EFC">
        <w:rPr>
          <w:rFonts w:hint="eastAsia"/>
        </w:rPr>
        <w:t>开盘即</w:t>
      </w:r>
      <w:r>
        <w:rPr>
          <w:rFonts w:hint="eastAsia"/>
        </w:rPr>
        <w:t>涨停，又传闻板蓝根能预防肺炎，白云山（</w:t>
      </w:r>
      <w:r>
        <w:rPr>
          <w:rFonts w:hint="eastAsia"/>
        </w:rPr>
        <w:t>600332.SH</w:t>
      </w:r>
      <w:r>
        <w:rPr>
          <w:rFonts w:hint="eastAsia"/>
        </w:rPr>
        <w:t>）的股价应声而上。目前的情况，如同</w:t>
      </w:r>
      <w:r>
        <w:rPr>
          <w:rFonts w:hint="eastAsia"/>
        </w:rPr>
        <w:t>2003</w:t>
      </w:r>
      <w:r>
        <w:rPr>
          <w:rFonts w:hint="eastAsia"/>
        </w:rPr>
        <w:t>年的非典时期，疫情信息扑面而来，各种传闻一泼未平一波又起，真假难辨，股市随着传闻动荡。对上市公司而言，</w:t>
      </w:r>
      <w:r>
        <w:rPr>
          <w:rFonts w:ascii="Arial" w:hAnsi="Arial" w:cs="Arial"/>
          <w:color w:val="333333"/>
          <w:shd w:val="clear" w:color="auto" w:fill="FFFFFF"/>
        </w:rPr>
        <w:t>违反真实、客观原则的虚假或误导性信息就像烟雾弹</w:t>
      </w:r>
      <w:r>
        <w:rPr>
          <w:rFonts w:ascii="Arial" w:hAnsi="Arial" w:cs="Arial" w:hint="eastAsia"/>
          <w:color w:val="333333"/>
          <w:shd w:val="clear" w:color="auto" w:fill="FFFFFF"/>
        </w:rPr>
        <w:t>，</w:t>
      </w:r>
      <w:r>
        <w:rPr>
          <w:rFonts w:ascii="Arial" w:hAnsi="Arial" w:cs="Arial"/>
          <w:color w:val="333333"/>
          <w:shd w:val="clear" w:color="auto" w:fill="FFFFFF"/>
        </w:rPr>
        <w:t>会严重干扰投资者</w:t>
      </w:r>
      <w:r>
        <w:rPr>
          <w:rFonts w:ascii="Arial" w:hAnsi="Arial" w:cs="Arial" w:hint="eastAsia"/>
          <w:color w:val="333333"/>
          <w:shd w:val="clear" w:color="auto" w:fill="FFFFFF"/>
        </w:rPr>
        <w:t>，</w:t>
      </w:r>
      <w:r>
        <w:rPr>
          <w:rFonts w:ascii="Arial" w:hAnsi="Arial" w:cs="Arial"/>
          <w:color w:val="333333"/>
          <w:shd w:val="clear" w:color="auto" w:fill="FFFFFF"/>
        </w:rPr>
        <w:t>尤其是广大中小投资者的决策判断，扭曲市场价格信号，损害投资者合法权益，最终影响</w:t>
      </w:r>
      <w:r>
        <w:rPr>
          <w:rFonts w:ascii="Arial" w:hAnsi="Arial" w:cs="Arial" w:hint="eastAsia"/>
          <w:color w:val="333333"/>
          <w:shd w:val="clear" w:color="auto" w:fill="FFFFFF"/>
        </w:rPr>
        <w:t>股票</w:t>
      </w:r>
      <w:r>
        <w:rPr>
          <w:rFonts w:ascii="Arial" w:hAnsi="Arial" w:cs="Arial"/>
          <w:color w:val="333333"/>
          <w:shd w:val="clear" w:color="auto" w:fill="FFFFFF"/>
        </w:rPr>
        <w:t>市场功能的正常发挥。上市公司应当对涉及自身的传闻予以及时回应</w:t>
      </w:r>
      <w:r>
        <w:rPr>
          <w:rFonts w:ascii="Arial" w:hAnsi="Arial" w:cs="Arial" w:hint="eastAsia"/>
          <w:color w:val="333333"/>
          <w:shd w:val="clear" w:color="auto" w:fill="FFFFFF"/>
        </w:rPr>
        <w:t>，</w:t>
      </w:r>
      <w:r>
        <w:rPr>
          <w:rFonts w:ascii="Arial" w:hAnsi="Arial" w:cs="Arial"/>
          <w:color w:val="333333"/>
          <w:shd w:val="clear" w:color="auto" w:fill="FFFFFF"/>
        </w:rPr>
        <w:t>这不仅是对自身的保护</w:t>
      </w:r>
      <w:r>
        <w:rPr>
          <w:rFonts w:ascii="Arial" w:hAnsi="Arial" w:cs="Arial" w:hint="eastAsia"/>
          <w:color w:val="333333"/>
          <w:shd w:val="clear" w:color="auto" w:fill="FFFFFF"/>
        </w:rPr>
        <w:t>，</w:t>
      </w:r>
      <w:r>
        <w:rPr>
          <w:rFonts w:ascii="Arial" w:hAnsi="Arial" w:cs="Arial"/>
          <w:color w:val="333333"/>
          <w:shd w:val="clear" w:color="auto" w:fill="FFFFFF"/>
        </w:rPr>
        <w:t>也是对投资者负责的表现</w:t>
      </w:r>
      <w:r>
        <w:rPr>
          <w:rFonts w:ascii="Arial" w:hAnsi="Arial" w:cs="Arial" w:hint="eastAsia"/>
          <w:color w:val="333333"/>
          <w:shd w:val="clear" w:color="auto" w:fill="FFFFFF"/>
        </w:rPr>
        <w:t>。</w:t>
      </w:r>
    </w:p>
    <w:p w:rsidR="00477FC7" w:rsidRDefault="0091264E" w:rsidP="009A350F">
      <w:pPr>
        <w:spacing w:beforeLines="50" w:before="156" w:afterLines="50" w:after="156" w:line="312" w:lineRule="auto"/>
        <w:ind w:firstLineChars="200" w:firstLine="480"/>
      </w:pPr>
      <w:r w:rsidRPr="00741264">
        <w:rPr>
          <w:rFonts w:hint="eastAsia"/>
        </w:rPr>
        <w:t>受肺炎疫情影响，自</w:t>
      </w:r>
      <w:r w:rsidRPr="00741264">
        <w:t>2</w:t>
      </w:r>
      <w:r w:rsidRPr="00741264">
        <w:rPr>
          <w:rFonts w:hint="eastAsia"/>
        </w:rPr>
        <w:t>月</w:t>
      </w:r>
      <w:r w:rsidRPr="00741264">
        <w:t>3</w:t>
      </w:r>
      <w:r w:rsidRPr="00741264">
        <w:rPr>
          <w:rFonts w:hint="eastAsia"/>
        </w:rPr>
        <w:t>日开市</w:t>
      </w:r>
      <w:r w:rsidR="00E12A08" w:rsidRPr="00741264">
        <w:rPr>
          <w:rFonts w:hint="eastAsia"/>
        </w:rPr>
        <w:t>后</w:t>
      </w:r>
      <w:r w:rsidRPr="00741264">
        <w:rPr>
          <w:rFonts w:hint="eastAsia"/>
        </w:rPr>
        <w:t>，众多医药板块上市公司发生股票交易异常波动情形</w:t>
      </w:r>
      <w:r w:rsidR="00793E8F" w:rsidRPr="00741264">
        <w:rPr>
          <w:rFonts w:hint="eastAsia"/>
        </w:rPr>
        <w:t>（连续三个交易日内日收盘价涨跌幅偏离值累计达到</w:t>
      </w:r>
      <w:r w:rsidR="00793E8F" w:rsidRPr="00741264">
        <w:rPr>
          <w:rFonts w:cs="Times New Roman"/>
        </w:rPr>
        <w:t>±</w:t>
      </w:r>
      <w:r w:rsidR="00793E8F" w:rsidRPr="00741264">
        <w:rPr>
          <w:rFonts w:hint="eastAsia"/>
        </w:rPr>
        <w:t>20</w:t>
      </w:r>
      <w:r w:rsidR="00E12A08" w:rsidRPr="00741264">
        <w:rPr>
          <w:rFonts w:hint="eastAsia"/>
        </w:rPr>
        <w:t>%</w:t>
      </w:r>
      <w:r w:rsidR="00793E8F" w:rsidRPr="00741264">
        <w:rPr>
          <w:rFonts w:hint="eastAsia"/>
        </w:rPr>
        <w:t>）</w:t>
      </w:r>
      <w:r w:rsidR="009D5EE3" w:rsidRPr="00741264">
        <w:rPr>
          <w:rFonts w:hint="eastAsia"/>
        </w:rPr>
        <w:t>，下表为部分发布了股票交易异常波动情况公告的上市公司名单：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096"/>
        <w:gridCol w:w="2449"/>
        <w:gridCol w:w="2541"/>
        <w:gridCol w:w="2214"/>
      </w:tblGrid>
      <w:tr w:rsidR="00D63EDC" w:rsidRPr="00AF7640" w:rsidTr="00D63EDC">
        <w:trPr>
          <w:tblHeader/>
        </w:trPr>
        <w:tc>
          <w:tcPr>
            <w:tcW w:w="660" w:type="pct"/>
            <w:vAlign w:val="center"/>
          </w:tcPr>
          <w:p w:rsidR="00D63EDC" w:rsidRPr="00375E59" w:rsidRDefault="00D63EDC" w:rsidP="009A350F">
            <w:pPr>
              <w:widowControl/>
              <w:spacing w:beforeLines="30" w:before="93" w:afterLines="30" w:after="93"/>
              <w:jc w:val="center"/>
              <w:rPr>
                <w:rFonts w:cs="Times New Roman"/>
                <w:b/>
                <w:bCs/>
                <w:color w:val="212529"/>
                <w:kern w:val="0"/>
                <w:szCs w:val="24"/>
              </w:rPr>
            </w:pPr>
            <w:r w:rsidRPr="00375E59">
              <w:rPr>
                <w:rFonts w:hAnsi="楷体" w:cs="Times New Roman"/>
                <w:b/>
                <w:bCs/>
                <w:color w:val="212529"/>
                <w:kern w:val="0"/>
                <w:szCs w:val="24"/>
              </w:rPr>
              <w:lastRenderedPageBreak/>
              <w:t>序号</w:t>
            </w:r>
          </w:p>
        </w:tc>
        <w:tc>
          <w:tcPr>
            <w:tcW w:w="1475" w:type="pct"/>
            <w:shd w:val="clear" w:color="auto" w:fill="auto"/>
            <w:vAlign w:val="center"/>
            <w:hideMark/>
          </w:tcPr>
          <w:p w:rsidR="00477FC7" w:rsidRDefault="00D63EDC" w:rsidP="009A350F">
            <w:pPr>
              <w:widowControl/>
              <w:spacing w:beforeLines="30" w:before="93" w:afterLines="30" w:after="93"/>
              <w:jc w:val="center"/>
              <w:rPr>
                <w:rFonts w:cs="Times New Roman"/>
                <w:b/>
                <w:bCs/>
                <w:color w:val="212529"/>
                <w:kern w:val="0"/>
                <w:szCs w:val="24"/>
              </w:rPr>
            </w:pPr>
            <w:r>
              <w:rPr>
                <w:rFonts w:hAnsi="楷体" w:cs="Times New Roman" w:hint="eastAsia"/>
                <w:b/>
                <w:bCs/>
                <w:color w:val="212529"/>
                <w:kern w:val="0"/>
                <w:szCs w:val="24"/>
              </w:rPr>
              <w:t>上市</w:t>
            </w:r>
            <w:r>
              <w:rPr>
                <w:rFonts w:hAnsi="楷体" w:cs="Times New Roman"/>
                <w:b/>
                <w:bCs/>
                <w:color w:val="212529"/>
                <w:kern w:val="0"/>
                <w:szCs w:val="24"/>
              </w:rPr>
              <w:t>公司简称</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b/>
                <w:bCs/>
                <w:color w:val="212529"/>
                <w:kern w:val="0"/>
                <w:szCs w:val="24"/>
              </w:rPr>
            </w:pPr>
            <w:r>
              <w:rPr>
                <w:rFonts w:hAnsi="楷体" w:cs="Times New Roman"/>
                <w:b/>
                <w:bCs/>
                <w:color w:val="212529"/>
                <w:kern w:val="0"/>
                <w:szCs w:val="24"/>
              </w:rPr>
              <w:t>股票代码</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b/>
                <w:bCs/>
                <w:color w:val="212529"/>
                <w:kern w:val="0"/>
                <w:szCs w:val="24"/>
              </w:rPr>
            </w:pPr>
            <w:r>
              <w:rPr>
                <w:rFonts w:hAnsi="楷体" w:cs="Times New Roman"/>
                <w:b/>
                <w:bCs/>
                <w:color w:val="212529"/>
                <w:kern w:val="0"/>
                <w:szCs w:val="24"/>
              </w:rPr>
              <w:t>公告时间</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Pr="00AF7640"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振德医疗</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603301</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Pr="00AF7640"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第一医药</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600833</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哈药股份</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600664</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神奇制药</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600613</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B630A2" w:rsidRPr="00AF7640" w:rsidTr="00D63EDC">
        <w:tc>
          <w:tcPr>
            <w:tcW w:w="660" w:type="pct"/>
            <w:vAlign w:val="center"/>
          </w:tcPr>
          <w:p w:rsidR="00B630A2" w:rsidRPr="00375E59" w:rsidRDefault="00B630A2"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B630A2" w:rsidRDefault="00B630A2" w:rsidP="009A350F">
            <w:pPr>
              <w:widowControl/>
              <w:spacing w:beforeLines="30" w:before="93" w:afterLines="30" w:after="93"/>
              <w:jc w:val="center"/>
              <w:rPr>
                <w:rFonts w:cs="Times New Roman"/>
                <w:color w:val="212529"/>
                <w:kern w:val="0"/>
                <w:szCs w:val="24"/>
              </w:rPr>
            </w:pPr>
            <w:r>
              <w:rPr>
                <w:rFonts w:cs="Times New Roman"/>
                <w:color w:val="212529"/>
                <w:kern w:val="0"/>
                <w:szCs w:val="24"/>
              </w:rPr>
              <w:t>海正药业</w:t>
            </w:r>
          </w:p>
        </w:tc>
        <w:tc>
          <w:tcPr>
            <w:tcW w:w="1531" w:type="pct"/>
            <w:shd w:val="clear" w:color="auto" w:fill="auto"/>
            <w:vAlign w:val="center"/>
            <w:hideMark/>
          </w:tcPr>
          <w:p w:rsidR="00477FC7" w:rsidRDefault="00B630A2"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600267</w:t>
            </w:r>
          </w:p>
        </w:tc>
        <w:tc>
          <w:tcPr>
            <w:tcW w:w="1334" w:type="pct"/>
            <w:shd w:val="clear" w:color="auto" w:fill="auto"/>
            <w:vAlign w:val="center"/>
            <w:hideMark/>
          </w:tcPr>
          <w:p w:rsidR="00477FC7" w:rsidRDefault="00B630A2"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红日药业</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300026</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奥美医疗</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002950</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未名医药</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002581</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贵州百灵</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002424</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r w:rsidR="00D63EDC" w:rsidRPr="00AF7640" w:rsidTr="00D63EDC">
        <w:tc>
          <w:tcPr>
            <w:tcW w:w="660" w:type="pct"/>
            <w:vAlign w:val="center"/>
          </w:tcPr>
          <w:p w:rsidR="00D63EDC" w:rsidRPr="00375E59" w:rsidRDefault="00D63EDC" w:rsidP="009A350F">
            <w:pPr>
              <w:pStyle w:val="a7"/>
              <w:widowControl/>
              <w:numPr>
                <w:ilvl w:val="0"/>
                <w:numId w:val="3"/>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475" w:type="pct"/>
            <w:shd w:val="clear" w:color="auto" w:fill="auto"/>
            <w:vAlign w:val="center"/>
            <w:hideMark/>
          </w:tcPr>
          <w:p w:rsidR="00D63EDC" w:rsidRDefault="00D63EDC" w:rsidP="009A350F">
            <w:pPr>
              <w:widowControl/>
              <w:spacing w:beforeLines="30" w:before="93" w:afterLines="30" w:after="93"/>
              <w:jc w:val="center"/>
              <w:rPr>
                <w:rFonts w:cs="Times New Roman"/>
                <w:color w:val="212529"/>
                <w:kern w:val="0"/>
                <w:szCs w:val="24"/>
              </w:rPr>
            </w:pPr>
            <w:r>
              <w:rPr>
                <w:rFonts w:cs="Times New Roman"/>
                <w:color w:val="212529"/>
                <w:kern w:val="0"/>
                <w:szCs w:val="24"/>
              </w:rPr>
              <w:t>仁和药业</w:t>
            </w:r>
          </w:p>
        </w:tc>
        <w:tc>
          <w:tcPr>
            <w:tcW w:w="1531"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000650</w:t>
            </w:r>
          </w:p>
        </w:tc>
        <w:tc>
          <w:tcPr>
            <w:tcW w:w="1334" w:type="pct"/>
            <w:shd w:val="clear" w:color="auto" w:fill="auto"/>
            <w:vAlign w:val="center"/>
            <w:hideMark/>
          </w:tcPr>
          <w:p w:rsidR="00477FC7" w:rsidRDefault="00D63EDC" w:rsidP="009A350F">
            <w:pPr>
              <w:widowControl/>
              <w:spacing w:beforeLines="30" w:before="93" w:afterLines="30" w:after="93"/>
              <w:jc w:val="center"/>
              <w:rPr>
                <w:rFonts w:cs="Times New Roman"/>
                <w:color w:val="212529"/>
                <w:kern w:val="0"/>
                <w:szCs w:val="24"/>
              </w:rPr>
            </w:pPr>
            <w:r>
              <w:rPr>
                <w:rFonts w:cs="Times New Roman" w:hint="eastAsia"/>
                <w:color w:val="212529"/>
                <w:kern w:val="0"/>
                <w:szCs w:val="24"/>
              </w:rPr>
              <w:t>2020-02-04</w:t>
            </w:r>
          </w:p>
        </w:tc>
      </w:tr>
    </w:tbl>
    <w:p w:rsidR="008875E6" w:rsidRDefault="008238ED" w:rsidP="009A350F">
      <w:pPr>
        <w:spacing w:beforeLines="50" w:before="156" w:afterLines="50" w:after="156" w:line="312" w:lineRule="auto"/>
        <w:ind w:firstLineChars="200" w:firstLine="480"/>
        <w:rPr>
          <w:rFonts w:ascii="Arial" w:hAnsi="Arial" w:cs="Arial"/>
          <w:color w:val="333333"/>
          <w:shd w:val="clear" w:color="auto" w:fill="FFFFFF"/>
        </w:rPr>
      </w:pPr>
      <w:r>
        <w:rPr>
          <w:rFonts w:ascii="Arial" w:hAnsi="Arial" w:cs="Arial"/>
          <w:color w:val="333333"/>
          <w:shd w:val="clear" w:color="auto" w:fill="FFFFFF"/>
        </w:rPr>
        <w:t>上市公司应该密切关注公共媒体关于公司的各种传闻</w:t>
      </w:r>
      <w:r>
        <w:rPr>
          <w:rFonts w:ascii="Arial" w:hAnsi="Arial" w:cs="Arial" w:hint="eastAsia"/>
          <w:color w:val="333333"/>
          <w:shd w:val="clear" w:color="auto" w:fill="FFFFFF"/>
        </w:rPr>
        <w:t>。</w:t>
      </w:r>
      <w:r>
        <w:rPr>
          <w:rFonts w:ascii="Arial" w:hAnsi="Arial" w:cs="Arial"/>
          <w:color w:val="333333"/>
          <w:shd w:val="clear" w:color="auto" w:fill="FFFFFF"/>
        </w:rPr>
        <w:t>如传闻可能或者已经对上市</w:t>
      </w:r>
      <w:r>
        <w:rPr>
          <w:rFonts w:hint="eastAsia"/>
        </w:rPr>
        <w:t>公司股票及其衍生品种交易价格产生较大影响，上市公司应当</w:t>
      </w:r>
      <w:r w:rsidR="005F21EB">
        <w:rPr>
          <w:rFonts w:hint="eastAsia"/>
        </w:rPr>
        <w:t>按照相关股票上市、交易规则的</w:t>
      </w:r>
      <w:r>
        <w:rPr>
          <w:rFonts w:hint="eastAsia"/>
        </w:rPr>
        <w:t>规定，快速反应，积极采取应对措施，</w:t>
      </w:r>
      <w:r>
        <w:rPr>
          <w:rFonts w:ascii="Arial" w:hAnsi="Arial" w:cs="Arial" w:hint="eastAsia"/>
          <w:color w:val="333333"/>
          <w:shd w:val="clear" w:color="auto" w:fill="FFFFFF"/>
        </w:rPr>
        <w:t>及时核实传闻的真实性</w:t>
      </w:r>
      <w:r w:rsidR="001F151A">
        <w:rPr>
          <w:rFonts w:ascii="Arial" w:hAnsi="Arial" w:cs="Arial" w:hint="eastAsia"/>
          <w:color w:val="333333"/>
          <w:shd w:val="clear" w:color="auto" w:fill="FFFFFF"/>
        </w:rPr>
        <w:t>及股票</w:t>
      </w:r>
      <w:r w:rsidR="00DC4A69">
        <w:rPr>
          <w:rFonts w:ascii="Arial" w:hAnsi="Arial" w:cs="Arial" w:hint="eastAsia"/>
          <w:color w:val="333333"/>
          <w:shd w:val="clear" w:color="auto" w:fill="FFFFFF"/>
        </w:rPr>
        <w:t>交易</w:t>
      </w:r>
      <w:r w:rsidR="001F151A">
        <w:rPr>
          <w:rFonts w:ascii="Arial" w:hAnsi="Arial" w:cs="Arial" w:hint="eastAsia"/>
          <w:color w:val="333333"/>
          <w:shd w:val="clear" w:color="auto" w:fill="FFFFFF"/>
        </w:rPr>
        <w:t>异常波动情况</w:t>
      </w:r>
      <w:r>
        <w:rPr>
          <w:rFonts w:ascii="Arial" w:hAnsi="Arial" w:cs="Arial" w:hint="eastAsia"/>
          <w:color w:val="333333"/>
          <w:shd w:val="clear" w:color="auto" w:fill="FFFFFF"/>
        </w:rPr>
        <w:t>。</w:t>
      </w:r>
      <w:r>
        <w:rPr>
          <w:rFonts w:ascii="Arial" w:hAnsi="Arial" w:cs="Arial"/>
          <w:color w:val="333333"/>
          <w:shd w:val="clear" w:color="auto" w:fill="FFFFFF"/>
        </w:rPr>
        <w:t>如传闻系真实</w:t>
      </w:r>
      <w:r>
        <w:rPr>
          <w:rFonts w:ascii="Arial" w:hAnsi="Arial" w:cs="Arial" w:hint="eastAsia"/>
          <w:color w:val="333333"/>
          <w:shd w:val="clear" w:color="auto" w:fill="FFFFFF"/>
        </w:rPr>
        <w:t>，</w:t>
      </w:r>
      <w:r>
        <w:rPr>
          <w:rFonts w:ascii="Arial" w:hAnsi="Arial" w:cs="Arial"/>
          <w:color w:val="333333"/>
          <w:shd w:val="clear" w:color="auto" w:fill="FFFFFF"/>
        </w:rPr>
        <w:t>应及时披露</w:t>
      </w:r>
      <w:r>
        <w:rPr>
          <w:rFonts w:ascii="Arial" w:hAnsi="Arial" w:cs="Arial" w:hint="eastAsia"/>
          <w:color w:val="333333"/>
          <w:shd w:val="clear" w:color="auto" w:fill="FFFFFF"/>
        </w:rPr>
        <w:t>；</w:t>
      </w:r>
      <w:r>
        <w:rPr>
          <w:rFonts w:hint="eastAsia"/>
        </w:rPr>
        <w:t>如传闻系虚假消息，应及时发布澄清公告</w:t>
      </w:r>
      <w:r>
        <w:rPr>
          <w:rFonts w:ascii="Arial" w:hAnsi="Arial" w:cs="Arial" w:hint="eastAsia"/>
          <w:color w:val="333333"/>
          <w:shd w:val="clear" w:color="auto" w:fill="FFFFFF"/>
        </w:rPr>
        <w:t>，</w:t>
      </w:r>
      <w:r>
        <w:rPr>
          <w:rFonts w:ascii="Arial" w:hAnsi="Arial" w:cs="Arial"/>
          <w:color w:val="333333"/>
          <w:shd w:val="clear" w:color="auto" w:fill="FFFFFF"/>
        </w:rPr>
        <w:t>消除投资者误解</w:t>
      </w:r>
      <w:r>
        <w:rPr>
          <w:rFonts w:ascii="Arial" w:hAnsi="Arial" w:cs="Arial" w:hint="eastAsia"/>
          <w:color w:val="333333"/>
          <w:shd w:val="clear" w:color="auto" w:fill="FFFFFF"/>
        </w:rPr>
        <w:t>。</w:t>
      </w:r>
    </w:p>
    <w:p w:rsidR="008875E6" w:rsidRDefault="008238ED" w:rsidP="009A350F">
      <w:pPr>
        <w:widowControl/>
        <w:spacing w:beforeLines="50" w:before="156" w:afterLines="50" w:after="156" w:line="312" w:lineRule="auto"/>
        <w:ind w:firstLineChars="200" w:firstLine="482"/>
        <w:jc w:val="left"/>
        <w:rPr>
          <w:b/>
        </w:rPr>
      </w:pPr>
      <w:r>
        <w:rPr>
          <w:rFonts w:hint="eastAsia"/>
          <w:b/>
        </w:rPr>
        <w:t>（四）肺炎疫情对发行上市等审核时限的影响</w:t>
      </w:r>
    </w:p>
    <w:p w:rsidR="00477FC7" w:rsidRDefault="008238ED" w:rsidP="009A350F">
      <w:pPr>
        <w:spacing w:beforeLines="50" w:before="156" w:afterLines="50" w:after="156" w:line="312" w:lineRule="auto"/>
        <w:ind w:firstLineChars="200" w:firstLine="480"/>
      </w:pPr>
      <w:r>
        <w:rPr>
          <w:rFonts w:ascii="Arial" w:hAnsi="Arial" w:cs="Arial"/>
          <w:color w:val="333333"/>
          <w:shd w:val="clear" w:color="auto" w:fill="FFFFFF"/>
        </w:rPr>
        <w:t>根据</w:t>
      </w:r>
      <w:r>
        <w:rPr>
          <w:rFonts w:hint="eastAsia"/>
        </w:rPr>
        <w:t>上证函〔</w:t>
      </w:r>
      <w:r>
        <w:rPr>
          <w:rFonts w:hint="eastAsia"/>
        </w:rPr>
        <w:t>2020</w:t>
      </w:r>
      <w:r>
        <w:rPr>
          <w:rFonts w:hint="eastAsia"/>
        </w:rPr>
        <w:t>〕</w:t>
      </w:r>
      <w:r>
        <w:rPr>
          <w:rFonts w:hint="eastAsia"/>
        </w:rPr>
        <w:t>202</w:t>
      </w:r>
      <w:r>
        <w:rPr>
          <w:rFonts w:hint="eastAsia"/>
        </w:rPr>
        <w:t>号《通知》，疫情防控期间，科创板首次公开上市审核、上市公司重大资产重组审核及其他相关审核中发行人回复时限等规则规定的审核时限，以及发行人更新财务报告的时限，予以中止计算</w:t>
      </w:r>
      <w:r w:rsidR="00EA79F6">
        <w:rPr>
          <w:rFonts w:hint="eastAsia"/>
        </w:rPr>
        <w:t>。</w:t>
      </w:r>
      <w:r w:rsidR="009D5EE3" w:rsidRPr="00741264">
        <w:rPr>
          <w:rFonts w:hint="eastAsia"/>
        </w:rPr>
        <w:t>因财务报告更新，</w:t>
      </w:r>
      <w:r w:rsidR="009D5EE3" w:rsidRPr="00741264">
        <w:t>2</w:t>
      </w:r>
      <w:r w:rsidR="009D5EE3" w:rsidRPr="00741264">
        <w:rPr>
          <w:rFonts w:hint="eastAsia"/>
        </w:rPr>
        <w:t>月</w:t>
      </w:r>
      <w:r w:rsidR="009D5EE3" w:rsidRPr="00741264">
        <w:t>3</w:t>
      </w:r>
      <w:r w:rsidR="009D5EE3" w:rsidRPr="00741264">
        <w:rPr>
          <w:rFonts w:hint="eastAsia"/>
        </w:rPr>
        <w:t>日共有</w:t>
      </w:r>
      <w:r w:rsidR="009D5EE3" w:rsidRPr="00741264">
        <w:t>60</w:t>
      </w:r>
      <w:r w:rsidR="009D5EE3" w:rsidRPr="00741264">
        <w:rPr>
          <w:rFonts w:hint="eastAsia"/>
        </w:rPr>
        <w:t>家科创板在审企业的审核状态变更为中止</w:t>
      </w:r>
      <w:r w:rsidR="0058294E" w:rsidRPr="00741264">
        <w:rPr>
          <w:rFonts w:hint="eastAsia"/>
        </w:rPr>
        <w:t>，</w:t>
      </w:r>
      <w:r w:rsidR="00FA128D" w:rsidRPr="00741264">
        <w:rPr>
          <w:rFonts w:hint="eastAsia"/>
        </w:rPr>
        <w:t>下表列示部分企业情况</w:t>
      </w:r>
      <w:r w:rsidR="00AE2E4B" w:rsidRPr="00741264">
        <w:rPr>
          <w:rFonts w:hint="eastAsia"/>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80"/>
        <w:gridCol w:w="1693"/>
        <w:gridCol w:w="1326"/>
        <w:gridCol w:w="792"/>
        <w:gridCol w:w="1411"/>
        <w:gridCol w:w="1270"/>
        <w:gridCol w:w="1228"/>
      </w:tblGrid>
      <w:tr w:rsidR="00FA128D" w:rsidRPr="00375E59" w:rsidTr="00FA128D">
        <w:trPr>
          <w:tblHeader/>
        </w:trPr>
        <w:tc>
          <w:tcPr>
            <w:tcW w:w="349" w:type="pct"/>
            <w:vAlign w:val="center"/>
          </w:tcPr>
          <w:p w:rsidR="00477FC7" w:rsidRDefault="00FA128D" w:rsidP="009A350F">
            <w:pPr>
              <w:widowControl/>
              <w:spacing w:beforeLines="30" w:before="93" w:afterLines="30" w:after="93"/>
              <w:jc w:val="center"/>
              <w:rPr>
                <w:rFonts w:cs="Times New Roman"/>
                <w:b/>
                <w:bCs/>
                <w:color w:val="212529"/>
                <w:kern w:val="0"/>
                <w:szCs w:val="24"/>
              </w:rPr>
            </w:pPr>
            <w:r w:rsidRPr="00375E59">
              <w:rPr>
                <w:rFonts w:hAnsi="楷体" w:cs="Times New Roman"/>
                <w:b/>
                <w:bCs/>
                <w:color w:val="212529"/>
                <w:kern w:val="0"/>
                <w:szCs w:val="24"/>
              </w:rPr>
              <w:t>序号</w:t>
            </w:r>
          </w:p>
        </w:tc>
        <w:tc>
          <w:tcPr>
            <w:tcW w:w="1020" w:type="pct"/>
            <w:shd w:val="clear" w:color="auto" w:fill="auto"/>
            <w:vAlign w:val="center"/>
            <w:hideMark/>
          </w:tcPr>
          <w:p w:rsidR="00477FC7" w:rsidRDefault="00FA128D" w:rsidP="009A350F">
            <w:pPr>
              <w:widowControl/>
              <w:spacing w:beforeLines="30" w:before="93" w:afterLines="30" w:after="93"/>
              <w:jc w:val="center"/>
              <w:rPr>
                <w:rFonts w:cs="Times New Roman"/>
                <w:b/>
                <w:bCs/>
                <w:color w:val="212529"/>
                <w:kern w:val="0"/>
                <w:szCs w:val="24"/>
              </w:rPr>
            </w:pPr>
            <w:r w:rsidRPr="00AF7640">
              <w:rPr>
                <w:rFonts w:hAnsi="楷体" w:cs="Times New Roman"/>
                <w:b/>
                <w:bCs/>
                <w:color w:val="212529"/>
                <w:kern w:val="0"/>
                <w:szCs w:val="24"/>
              </w:rPr>
              <w:t>发行人全称</w:t>
            </w:r>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b/>
                <w:bCs/>
                <w:color w:val="212529"/>
                <w:kern w:val="0"/>
                <w:szCs w:val="24"/>
              </w:rPr>
            </w:pPr>
            <w:r w:rsidRPr="00AF7640">
              <w:rPr>
                <w:rFonts w:hAnsi="楷体" w:cs="Times New Roman"/>
                <w:b/>
                <w:bCs/>
                <w:color w:val="212529"/>
                <w:kern w:val="0"/>
                <w:szCs w:val="24"/>
              </w:rPr>
              <w:t>审核状态</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b/>
                <w:bCs/>
                <w:color w:val="212529"/>
                <w:kern w:val="0"/>
                <w:szCs w:val="24"/>
              </w:rPr>
            </w:pPr>
            <w:r w:rsidRPr="00AF7640">
              <w:rPr>
                <w:rFonts w:hAnsi="楷体" w:cs="Times New Roman"/>
                <w:b/>
                <w:bCs/>
                <w:color w:val="212529"/>
                <w:kern w:val="0"/>
                <w:szCs w:val="24"/>
              </w:rPr>
              <w:t>注册地</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b/>
                <w:bCs/>
                <w:color w:val="212529"/>
                <w:kern w:val="0"/>
                <w:szCs w:val="24"/>
              </w:rPr>
            </w:pPr>
            <w:r w:rsidRPr="00AF7640">
              <w:rPr>
                <w:rFonts w:hAnsi="楷体" w:cs="Times New Roman"/>
                <w:b/>
                <w:bCs/>
                <w:color w:val="212529"/>
                <w:kern w:val="0"/>
                <w:szCs w:val="24"/>
              </w:rPr>
              <w:t>证监会行业</w:t>
            </w:r>
          </w:p>
        </w:tc>
        <w:tc>
          <w:tcPr>
            <w:tcW w:w="765" w:type="pct"/>
            <w:shd w:val="clear" w:color="auto" w:fill="auto"/>
            <w:vAlign w:val="center"/>
            <w:hideMark/>
          </w:tcPr>
          <w:p w:rsidR="00477FC7" w:rsidRDefault="00BE5977" w:rsidP="009A350F">
            <w:pPr>
              <w:widowControl/>
              <w:spacing w:beforeLines="30" w:before="93" w:afterLines="30" w:after="93"/>
              <w:jc w:val="center"/>
              <w:rPr>
                <w:rFonts w:cs="Times New Roman"/>
                <w:b/>
                <w:bCs/>
                <w:color w:val="212529"/>
                <w:kern w:val="0"/>
                <w:szCs w:val="24"/>
              </w:rPr>
            </w:pPr>
            <w:hyperlink r:id="rId8" w:history="1">
              <w:r w:rsidR="00FA128D" w:rsidRPr="00375E59">
                <w:rPr>
                  <w:rFonts w:hAnsi="楷体" w:cs="Times New Roman"/>
                  <w:b/>
                  <w:bCs/>
                  <w:color w:val="333333"/>
                  <w:kern w:val="0"/>
                  <w:szCs w:val="24"/>
                </w:rPr>
                <w:t>更新日期</w:t>
              </w:r>
            </w:hyperlink>
          </w:p>
        </w:tc>
        <w:tc>
          <w:tcPr>
            <w:tcW w:w="740" w:type="pct"/>
            <w:shd w:val="clear" w:color="auto" w:fill="auto"/>
            <w:vAlign w:val="center"/>
            <w:hideMark/>
          </w:tcPr>
          <w:p w:rsidR="00477FC7" w:rsidRDefault="00BE5977" w:rsidP="009A350F">
            <w:pPr>
              <w:widowControl/>
              <w:spacing w:beforeLines="30" w:before="93" w:afterLines="30" w:after="93"/>
              <w:jc w:val="center"/>
              <w:rPr>
                <w:rFonts w:cs="Times New Roman"/>
                <w:b/>
                <w:bCs/>
                <w:color w:val="212529"/>
                <w:kern w:val="0"/>
                <w:szCs w:val="24"/>
              </w:rPr>
            </w:pPr>
            <w:hyperlink r:id="rId9" w:history="1">
              <w:r w:rsidR="00FA128D" w:rsidRPr="00375E59">
                <w:rPr>
                  <w:rFonts w:hAnsi="楷体" w:cs="Times New Roman"/>
                  <w:b/>
                  <w:bCs/>
                  <w:color w:val="333333"/>
                  <w:kern w:val="0"/>
                  <w:szCs w:val="24"/>
                </w:rPr>
                <w:t>受理日期</w:t>
              </w:r>
            </w:hyperlink>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0" w:tgtFrame="_blank" w:history="1">
              <w:r w:rsidR="00FA128D" w:rsidRPr="00375E59">
                <w:rPr>
                  <w:rFonts w:hAnsi="楷体" w:cs="Times New Roman"/>
                  <w:color w:val="333333"/>
                  <w:kern w:val="0"/>
                  <w:szCs w:val="24"/>
                </w:rPr>
                <w:t>中科星图股份有限公司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北京</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软件和信息技术服务业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2019-03-29</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1" w:tgtFrame="_blank" w:history="1">
              <w:r w:rsidR="00FA128D" w:rsidRPr="00375E59">
                <w:rPr>
                  <w:rFonts w:hAnsi="楷体" w:cs="Times New Roman"/>
                  <w:color w:val="333333"/>
                  <w:kern w:val="0"/>
                  <w:szCs w:val="24"/>
                </w:rPr>
                <w:t>成都秦川物联网科技股份有限公司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四川</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仪器仪表制造业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2019-06-05</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2" w:tgtFrame="_blank" w:history="1">
              <w:r w:rsidR="00FA128D" w:rsidRPr="00375E59">
                <w:rPr>
                  <w:rFonts w:hAnsi="楷体" w:cs="Times New Roman"/>
                  <w:color w:val="333333"/>
                  <w:kern w:val="0"/>
                  <w:szCs w:val="24"/>
                </w:rPr>
                <w:t>北京市博汇科技股份有限公司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北京</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软件和信息技术服务业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2019-11-04</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3" w:tgtFrame="_blank" w:history="1">
              <w:r w:rsidR="00FA128D" w:rsidRPr="00375E59">
                <w:rPr>
                  <w:rFonts w:hAnsi="楷体" w:cs="Times New Roman"/>
                  <w:color w:val="333333"/>
                  <w:kern w:val="0"/>
                  <w:szCs w:val="24"/>
                </w:rPr>
                <w:t>天能电池集团股份有限公司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浙江</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电气机械和器材制造业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2019-12-30</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4" w:tgtFrame="_blank" w:history="1">
              <w:r w:rsidR="00FA128D" w:rsidRPr="00375E59">
                <w:rPr>
                  <w:rFonts w:hAnsi="楷体" w:cs="Times New Roman"/>
                  <w:color w:val="333333"/>
                  <w:kern w:val="0"/>
                  <w:szCs w:val="24"/>
                </w:rPr>
                <w:t>成都盟升电子技术股份有限公司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四川</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计算机、通信和其他电子设备制造业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2019-12-25</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5" w:tgtFrame="_blank" w:history="1">
              <w:r w:rsidR="00FA128D" w:rsidRPr="00375E59">
                <w:rPr>
                  <w:rFonts w:hAnsi="楷体" w:cs="Times New Roman"/>
                  <w:color w:val="333333"/>
                  <w:kern w:val="0"/>
                  <w:szCs w:val="24"/>
                </w:rPr>
                <w:t>埃夫特智能装备股份有限公司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安徽</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通用设备制造业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2019-06-26</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6" w:tgtFrame="_blank" w:history="1">
              <w:r w:rsidR="00FA128D" w:rsidRPr="00375E59">
                <w:rPr>
                  <w:rFonts w:hAnsi="楷体" w:cs="Times New Roman"/>
                  <w:color w:val="333333"/>
                  <w:kern w:val="0"/>
                  <w:szCs w:val="24"/>
                </w:rPr>
                <w:t>无锡奥特维科技股份有限公司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江苏</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专用设备制造业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2019-06-27</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7" w:tgtFrame="_blank" w:history="1">
              <w:r w:rsidR="00FA128D" w:rsidRPr="00375E59">
                <w:rPr>
                  <w:rFonts w:hAnsi="楷体" w:cs="Times New Roman"/>
                  <w:color w:val="333333"/>
                  <w:kern w:val="0"/>
                  <w:szCs w:val="24"/>
                </w:rPr>
                <w:t>深圳市联赢激光股份有限公司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广东</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专用设备制造业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2019-06-27</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8" w:tgtFrame="_blank" w:history="1">
              <w:r w:rsidR="00FA128D" w:rsidRPr="00375E59">
                <w:rPr>
                  <w:rFonts w:hAnsi="楷体" w:cs="Times New Roman"/>
                  <w:color w:val="333333"/>
                  <w:kern w:val="0"/>
                  <w:szCs w:val="24"/>
                </w:rPr>
                <w:t>浙江海德曼智能装备股份有限公司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浙江</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通用设备制造业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2019-12-26</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19" w:tgtFrame="_blank" w:history="1">
              <w:r w:rsidR="00FA128D" w:rsidRPr="00375E59">
                <w:rPr>
                  <w:rFonts w:hAnsi="楷体" w:cs="Times New Roman"/>
                  <w:color w:val="333333"/>
                  <w:kern w:val="0"/>
                  <w:szCs w:val="24"/>
                </w:rPr>
                <w:t>北京莱伯泰科仪器股份有限公司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北京</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仪器仪表制造业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2019-12-30</w:t>
            </w:r>
          </w:p>
        </w:tc>
      </w:tr>
      <w:tr w:rsidR="00FA128D" w:rsidRPr="00375E59" w:rsidTr="0026426C">
        <w:tc>
          <w:tcPr>
            <w:tcW w:w="349" w:type="pct"/>
            <w:vAlign w:val="center"/>
          </w:tcPr>
          <w:p w:rsidR="00FA128D" w:rsidRPr="00375E59" w:rsidRDefault="00FA128D" w:rsidP="009A350F">
            <w:pPr>
              <w:pStyle w:val="a7"/>
              <w:widowControl/>
              <w:numPr>
                <w:ilvl w:val="0"/>
                <w:numId w:val="2"/>
              </w:numPr>
              <w:spacing w:beforeLines="30" w:before="93" w:afterLines="30" w:after="93"/>
              <w:ind w:left="284" w:firstLineChars="0" w:hanging="284"/>
              <w:jc w:val="center"/>
              <w:rPr>
                <w:rFonts w:ascii="Times New Roman" w:eastAsia="楷体" w:hAnsi="Times New Roman" w:cs="Times New Roman"/>
                <w:color w:val="212529"/>
                <w:kern w:val="0"/>
                <w:sz w:val="24"/>
                <w:szCs w:val="24"/>
              </w:rPr>
            </w:pPr>
          </w:p>
        </w:tc>
        <w:tc>
          <w:tcPr>
            <w:tcW w:w="1020" w:type="pct"/>
            <w:shd w:val="clear" w:color="auto" w:fill="auto"/>
            <w:vAlign w:val="center"/>
            <w:hideMark/>
          </w:tcPr>
          <w:p w:rsidR="00FA128D" w:rsidRPr="00AF7640" w:rsidRDefault="00BE5977" w:rsidP="009A350F">
            <w:pPr>
              <w:widowControl/>
              <w:spacing w:beforeLines="30" w:before="93" w:afterLines="30" w:after="93"/>
              <w:jc w:val="center"/>
              <w:rPr>
                <w:rFonts w:cs="Times New Roman"/>
                <w:color w:val="212529"/>
                <w:kern w:val="0"/>
                <w:szCs w:val="24"/>
              </w:rPr>
            </w:pPr>
            <w:hyperlink r:id="rId20" w:tgtFrame="_blank" w:history="1">
              <w:r w:rsidR="00FA128D" w:rsidRPr="00375E59">
                <w:rPr>
                  <w:rFonts w:hAnsi="楷体" w:cs="Times New Roman"/>
                  <w:color w:val="333333"/>
                  <w:kern w:val="0"/>
                  <w:szCs w:val="24"/>
                </w:rPr>
                <w:t>浙江德马科技股份有限公司</w:t>
              </w:r>
            </w:hyperlink>
          </w:p>
        </w:tc>
        <w:tc>
          <w:tcPr>
            <w:tcW w:w="799"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中止（财报更新）</w:t>
            </w:r>
          </w:p>
        </w:tc>
        <w:tc>
          <w:tcPr>
            <w:tcW w:w="477"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浙江</w:t>
            </w:r>
          </w:p>
        </w:tc>
        <w:tc>
          <w:tcPr>
            <w:tcW w:w="85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hAnsi="楷体" w:cs="Times New Roman"/>
                <w:color w:val="212529"/>
                <w:kern w:val="0"/>
                <w:szCs w:val="24"/>
              </w:rPr>
              <w:t>通用设备制造业</w:t>
            </w:r>
          </w:p>
        </w:tc>
        <w:tc>
          <w:tcPr>
            <w:tcW w:w="765"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2020-02-03</w:t>
            </w:r>
          </w:p>
        </w:tc>
        <w:tc>
          <w:tcPr>
            <w:tcW w:w="740" w:type="pct"/>
            <w:shd w:val="clear" w:color="auto" w:fill="auto"/>
            <w:vAlign w:val="center"/>
            <w:hideMark/>
          </w:tcPr>
          <w:p w:rsidR="00477FC7" w:rsidRDefault="00FA128D" w:rsidP="009A350F">
            <w:pPr>
              <w:widowControl/>
              <w:spacing w:beforeLines="30" w:before="93" w:afterLines="30" w:after="93"/>
              <w:jc w:val="center"/>
              <w:rPr>
                <w:rFonts w:cs="Times New Roman"/>
                <w:color w:val="212529"/>
                <w:kern w:val="0"/>
                <w:szCs w:val="24"/>
              </w:rPr>
            </w:pPr>
            <w:r w:rsidRPr="00AF7640">
              <w:rPr>
                <w:rFonts w:cs="Times New Roman"/>
                <w:color w:val="212529"/>
                <w:kern w:val="0"/>
                <w:szCs w:val="24"/>
              </w:rPr>
              <w:t>2019-06-27</w:t>
            </w:r>
          </w:p>
        </w:tc>
      </w:tr>
    </w:tbl>
    <w:p w:rsidR="008875E6" w:rsidRDefault="008238ED" w:rsidP="009A350F">
      <w:pPr>
        <w:spacing w:beforeLines="50" w:before="156" w:afterLines="50" w:after="156" w:line="312" w:lineRule="auto"/>
        <w:ind w:firstLineChars="200" w:firstLine="480"/>
      </w:pPr>
      <w:r>
        <w:rPr>
          <w:rFonts w:hint="eastAsia"/>
        </w:rPr>
        <w:t>根据发行监管部函〔</w:t>
      </w:r>
      <w:r>
        <w:rPr>
          <w:rFonts w:hint="eastAsia"/>
        </w:rPr>
        <w:t>2020</w:t>
      </w:r>
      <w:r>
        <w:rPr>
          <w:rFonts w:hint="eastAsia"/>
        </w:rPr>
        <w:t>〕</w:t>
      </w:r>
      <w:r>
        <w:rPr>
          <w:rFonts w:hint="eastAsia"/>
        </w:rPr>
        <w:t>137</w:t>
      </w:r>
      <w:r>
        <w:rPr>
          <w:rFonts w:hint="eastAsia"/>
        </w:rPr>
        <w:t>号《通知》，对于发行人的反馈意见回复时限、告知函回复时限、财务报表有效期届满后终止审查时限等与发行审核相关的时限，以及已核发的再融资批文有效期，均暂缓计算。</w:t>
      </w:r>
    </w:p>
    <w:p w:rsidR="008875E6" w:rsidRDefault="008238ED" w:rsidP="009A350F">
      <w:pPr>
        <w:spacing w:beforeLines="50" w:before="156" w:afterLines="50" w:after="156" w:line="312" w:lineRule="auto"/>
        <w:ind w:firstLineChars="200" w:firstLine="480"/>
        <w:rPr>
          <w:rFonts w:ascii="Arial" w:hAnsi="Arial" w:cs="Arial"/>
          <w:color w:val="333333"/>
          <w:shd w:val="clear" w:color="auto" w:fill="FFFFFF"/>
        </w:rPr>
      </w:pPr>
      <w:r>
        <w:rPr>
          <w:rFonts w:ascii="Arial" w:hAnsi="Arial" w:cs="Arial" w:hint="eastAsia"/>
          <w:color w:val="333333"/>
          <w:shd w:val="clear" w:color="auto" w:fill="FFFFFF"/>
        </w:rPr>
        <w:t>目前，疫情防控期间，上市公司并购重组项目中上市公司的反馈意见回复时限是否暂缓计算，证监会未有特殊通知。上市公司应尽早与独立财务顾问等中介机构沟通，安排相关回复工作。如受疫情影响，无法按时回复证监会反馈，上市公司应尽早与证监会沟通。</w:t>
      </w:r>
    </w:p>
    <w:p w:rsidR="00477FC7" w:rsidRDefault="000C313A" w:rsidP="009A350F">
      <w:pPr>
        <w:spacing w:beforeLines="50" w:before="156" w:afterLines="50" w:after="156" w:line="360" w:lineRule="auto"/>
        <w:ind w:firstLineChars="200" w:firstLine="482"/>
        <w:rPr>
          <w:b/>
        </w:rPr>
      </w:pPr>
      <w:r w:rsidRPr="000C313A">
        <w:rPr>
          <w:rFonts w:hint="eastAsia"/>
          <w:b/>
        </w:rPr>
        <w:lastRenderedPageBreak/>
        <w:t>三、小结</w:t>
      </w:r>
    </w:p>
    <w:p w:rsidR="00477FC7" w:rsidRDefault="00A70D48" w:rsidP="009A350F">
      <w:pPr>
        <w:spacing w:beforeLines="50" w:before="156" w:afterLines="50" w:after="156" w:line="312" w:lineRule="auto"/>
        <w:ind w:firstLineChars="200" w:firstLine="480"/>
      </w:pPr>
      <w:r>
        <w:rPr>
          <w:rFonts w:hint="eastAsia"/>
        </w:rPr>
        <w:t>根据证监会、沪深交易所等部门发布的通知，该</w:t>
      </w:r>
      <w:r w:rsidR="007B5B82">
        <w:rPr>
          <w:rFonts w:hint="eastAsia"/>
        </w:rPr>
        <w:t>等部门</w:t>
      </w:r>
      <w:r w:rsidR="006B2576">
        <w:rPr>
          <w:rFonts w:hint="eastAsia"/>
        </w:rPr>
        <w:t>对</w:t>
      </w:r>
      <w:r w:rsidR="00667B9C">
        <w:rPr>
          <w:rFonts w:hint="eastAsia"/>
        </w:rPr>
        <w:t>肺炎</w:t>
      </w:r>
      <w:r w:rsidR="000C313A" w:rsidRPr="000C313A">
        <w:rPr>
          <w:rFonts w:hint="eastAsia"/>
        </w:rPr>
        <w:t>疫情影响</w:t>
      </w:r>
      <w:r w:rsidR="00510CB7">
        <w:rPr>
          <w:rFonts w:hint="eastAsia"/>
        </w:rPr>
        <w:t>下股市</w:t>
      </w:r>
      <w:r w:rsidR="006B2576">
        <w:rPr>
          <w:rFonts w:hint="eastAsia"/>
        </w:rPr>
        <w:t>的</w:t>
      </w:r>
      <w:r w:rsidR="00510CB7">
        <w:rPr>
          <w:rFonts w:hint="eastAsia"/>
        </w:rPr>
        <w:t>平稳</w:t>
      </w:r>
      <w:r w:rsidR="003813EF">
        <w:rPr>
          <w:rFonts w:hint="eastAsia"/>
        </w:rPr>
        <w:t>运作</w:t>
      </w:r>
      <w:r w:rsidR="00510CB7">
        <w:rPr>
          <w:rFonts w:hint="eastAsia"/>
        </w:rPr>
        <w:t>迅速出台了</w:t>
      </w:r>
      <w:r w:rsidR="006B2576">
        <w:rPr>
          <w:rFonts w:hint="eastAsia"/>
        </w:rPr>
        <w:t>相应的</w:t>
      </w:r>
      <w:r w:rsidR="00EF5C83">
        <w:rPr>
          <w:rFonts w:hint="eastAsia"/>
        </w:rPr>
        <w:t>保障</w:t>
      </w:r>
      <w:r w:rsidR="000C313A" w:rsidRPr="000C313A">
        <w:rPr>
          <w:rFonts w:hint="eastAsia"/>
        </w:rPr>
        <w:t>措施。针对受到</w:t>
      </w:r>
      <w:r w:rsidR="00675E47">
        <w:rPr>
          <w:rFonts w:hint="eastAsia"/>
        </w:rPr>
        <w:t>肺炎</w:t>
      </w:r>
      <w:r w:rsidR="000C313A" w:rsidRPr="000C313A">
        <w:rPr>
          <w:rFonts w:hint="eastAsia"/>
        </w:rPr>
        <w:t>疫情影响，相关市场主体无法确保相关工作在</w:t>
      </w:r>
      <w:r w:rsidR="00675E47">
        <w:rPr>
          <w:rFonts w:hint="eastAsia"/>
        </w:rPr>
        <w:t>规定</w:t>
      </w:r>
      <w:r w:rsidR="000C313A" w:rsidRPr="000C313A">
        <w:rPr>
          <w:rFonts w:hint="eastAsia"/>
        </w:rPr>
        <w:t>时限内完成的情形，</w:t>
      </w:r>
      <w:r w:rsidR="00675E47">
        <w:rPr>
          <w:rFonts w:hint="eastAsia"/>
        </w:rPr>
        <w:t>证监会、沪深交易所</w:t>
      </w:r>
      <w:r w:rsidR="00022366">
        <w:rPr>
          <w:rFonts w:hint="eastAsia"/>
        </w:rPr>
        <w:t>对期限</w:t>
      </w:r>
      <w:r w:rsidR="005005CF">
        <w:rPr>
          <w:rFonts w:hint="eastAsia"/>
        </w:rPr>
        <w:t>进行了宽限</w:t>
      </w:r>
      <w:r w:rsidR="00A608B4">
        <w:rPr>
          <w:rFonts w:hint="eastAsia"/>
        </w:rPr>
        <w:t>；对于受疫情影响严重的</w:t>
      </w:r>
      <w:r w:rsidR="002B535E">
        <w:rPr>
          <w:rFonts w:hint="eastAsia"/>
        </w:rPr>
        <w:t>相关</w:t>
      </w:r>
      <w:r w:rsidR="007E3A08">
        <w:rPr>
          <w:rFonts w:hint="eastAsia"/>
        </w:rPr>
        <w:t>市场主体</w:t>
      </w:r>
      <w:r w:rsidR="00A608B4">
        <w:rPr>
          <w:rFonts w:hint="eastAsia"/>
        </w:rPr>
        <w:t>，证监会、沪深交易所</w:t>
      </w:r>
      <w:r w:rsidR="002B535E">
        <w:rPr>
          <w:rFonts w:hint="eastAsia"/>
        </w:rPr>
        <w:t>对相关上市费用进行了减免</w:t>
      </w:r>
      <w:r>
        <w:rPr>
          <w:rFonts w:hint="eastAsia"/>
        </w:rPr>
        <w:t>。但目前看来，</w:t>
      </w:r>
      <w:r w:rsidR="00843C91">
        <w:rPr>
          <w:rFonts w:hint="eastAsia"/>
        </w:rPr>
        <w:t>对</w:t>
      </w:r>
      <w:r w:rsidR="007E3A08">
        <w:rPr>
          <w:rFonts w:hint="eastAsia"/>
        </w:rPr>
        <w:t>并购重组项目的部分事项的</w:t>
      </w:r>
      <w:r w:rsidR="003D280C">
        <w:rPr>
          <w:rFonts w:hint="eastAsia"/>
        </w:rPr>
        <w:t>时限是否延长或暂缓计算，</w:t>
      </w:r>
      <w:r w:rsidR="000C313A" w:rsidRPr="000C313A">
        <w:rPr>
          <w:rFonts w:hint="eastAsia"/>
        </w:rPr>
        <w:t>通知中尚未涵盖</w:t>
      </w:r>
      <w:r w:rsidR="003D280C">
        <w:rPr>
          <w:rFonts w:hint="eastAsia"/>
        </w:rPr>
        <w:t>。因此，</w:t>
      </w:r>
      <w:r w:rsidR="00022366">
        <w:rPr>
          <w:rFonts w:hint="eastAsia"/>
        </w:rPr>
        <w:t>我们</w:t>
      </w:r>
      <w:r w:rsidR="003D280C">
        <w:rPr>
          <w:rFonts w:hint="eastAsia"/>
        </w:rPr>
        <w:t>建议证监会</w:t>
      </w:r>
      <w:r w:rsidR="00F87EB9" w:rsidRPr="000C313A">
        <w:rPr>
          <w:rFonts w:hint="eastAsia"/>
        </w:rPr>
        <w:t>进一步制定和出台相应的政策，完善</w:t>
      </w:r>
      <w:r w:rsidR="00022366">
        <w:rPr>
          <w:rFonts w:hint="eastAsia"/>
        </w:rPr>
        <w:t>处理</w:t>
      </w:r>
      <w:r w:rsidR="00F87EB9" w:rsidRPr="000C313A">
        <w:rPr>
          <w:rFonts w:hint="eastAsia"/>
        </w:rPr>
        <w:t>机制</w:t>
      </w:r>
      <w:r w:rsidR="008B7EB4">
        <w:rPr>
          <w:rFonts w:hint="eastAsia"/>
        </w:rPr>
        <w:t>，</w:t>
      </w:r>
      <w:r w:rsidR="009D5EE3" w:rsidRPr="00741264">
        <w:rPr>
          <w:rFonts w:hint="eastAsia"/>
        </w:rPr>
        <w:t>或明确可以参照适用目前已有之规定</w:t>
      </w:r>
      <w:r w:rsidR="00F87EB9">
        <w:rPr>
          <w:rFonts w:hint="eastAsia"/>
        </w:rPr>
        <w:t>。同时，建议相关市场主体</w:t>
      </w:r>
      <w:r w:rsidR="006A72BC">
        <w:rPr>
          <w:rFonts w:hint="eastAsia"/>
        </w:rPr>
        <w:t>密切关注相关政府部门不时发布的通知，掌握最新的政策要求，并</w:t>
      </w:r>
      <w:r w:rsidR="00F87EB9">
        <w:rPr>
          <w:rFonts w:hint="eastAsia"/>
        </w:rPr>
        <w:t>尽早</w:t>
      </w:r>
      <w:r w:rsidR="006A72BC">
        <w:rPr>
          <w:rFonts w:hint="eastAsia"/>
        </w:rPr>
        <w:t>与相关中介机构沟通，安排工作。如预计不能按时完成相关工作，应及时与证监会、沪深交易所沟通。</w:t>
      </w:r>
    </w:p>
    <w:p w:rsidR="00363B5C" w:rsidRDefault="00363B5C" w:rsidP="009A350F">
      <w:pPr>
        <w:spacing w:beforeLines="50" w:before="156" w:afterLines="50" w:after="156" w:line="312" w:lineRule="auto"/>
        <w:ind w:firstLineChars="200" w:firstLine="480"/>
      </w:pPr>
    </w:p>
    <w:sectPr w:rsidR="00363B5C" w:rsidSect="00275889">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77" w:rsidRDefault="00BE5977" w:rsidP="00275889">
      <w:r>
        <w:separator/>
      </w:r>
    </w:p>
  </w:endnote>
  <w:endnote w:type="continuationSeparator" w:id="0">
    <w:p w:rsidR="00BE5977" w:rsidRDefault="00BE5977" w:rsidP="0027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813"/>
    </w:sdtPr>
    <w:sdtEndPr/>
    <w:sdtContent>
      <w:p w:rsidR="00275889" w:rsidRDefault="00C4115A">
        <w:pPr>
          <w:pStyle w:val="a4"/>
          <w:jc w:val="center"/>
        </w:pPr>
        <w:r>
          <w:fldChar w:fldCharType="begin"/>
        </w:r>
        <w:r w:rsidR="008238ED">
          <w:instrText xml:space="preserve"> PAGE   \* MERGEFORMAT </w:instrText>
        </w:r>
        <w:r>
          <w:fldChar w:fldCharType="separate"/>
        </w:r>
        <w:r w:rsidR="005B6039" w:rsidRPr="005B6039">
          <w:rPr>
            <w:noProof/>
            <w:lang w:val="zh-CN"/>
          </w:rPr>
          <w:t>7</w:t>
        </w:r>
        <w:r>
          <w:rPr>
            <w:lang w:val="zh-CN"/>
          </w:rPr>
          <w:fldChar w:fldCharType="end"/>
        </w:r>
      </w:p>
    </w:sdtContent>
  </w:sdt>
  <w:p w:rsidR="00275889" w:rsidRDefault="002758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77" w:rsidRDefault="00BE5977" w:rsidP="00275889">
      <w:r>
        <w:separator/>
      </w:r>
    </w:p>
  </w:footnote>
  <w:footnote w:type="continuationSeparator" w:id="0">
    <w:p w:rsidR="00BE5977" w:rsidRDefault="00BE5977" w:rsidP="0027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97444"/>
    <w:multiLevelType w:val="hybridMultilevel"/>
    <w:tmpl w:val="1CBEF7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BD4188"/>
    <w:multiLevelType w:val="hybridMultilevel"/>
    <w:tmpl w:val="1CBEF7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B96539"/>
    <w:multiLevelType w:val="hybridMultilevel"/>
    <w:tmpl w:val="1CBEF7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00"/>
    <w:rsid w:val="00001402"/>
    <w:rsid w:val="00022366"/>
    <w:rsid w:val="00031427"/>
    <w:rsid w:val="0004459C"/>
    <w:rsid w:val="000449E5"/>
    <w:rsid w:val="00046C79"/>
    <w:rsid w:val="00057125"/>
    <w:rsid w:val="00091549"/>
    <w:rsid w:val="000A1405"/>
    <w:rsid w:val="000C313A"/>
    <w:rsid w:val="000D701F"/>
    <w:rsid w:val="000D7ACA"/>
    <w:rsid w:val="000E012D"/>
    <w:rsid w:val="000E1F59"/>
    <w:rsid w:val="000F5DFC"/>
    <w:rsid w:val="00102415"/>
    <w:rsid w:val="001065AB"/>
    <w:rsid w:val="001171BC"/>
    <w:rsid w:val="001416EE"/>
    <w:rsid w:val="001512E0"/>
    <w:rsid w:val="00155EFA"/>
    <w:rsid w:val="00161673"/>
    <w:rsid w:val="00162F08"/>
    <w:rsid w:val="00171946"/>
    <w:rsid w:val="00181022"/>
    <w:rsid w:val="001873F7"/>
    <w:rsid w:val="001A21F1"/>
    <w:rsid w:val="001A58DB"/>
    <w:rsid w:val="001B3CFC"/>
    <w:rsid w:val="001B3EFC"/>
    <w:rsid w:val="001C586B"/>
    <w:rsid w:val="001D0305"/>
    <w:rsid w:val="001E6458"/>
    <w:rsid w:val="001F151A"/>
    <w:rsid w:val="001F3997"/>
    <w:rsid w:val="0020595A"/>
    <w:rsid w:val="002107A7"/>
    <w:rsid w:val="002275B8"/>
    <w:rsid w:val="00231471"/>
    <w:rsid w:val="00234DAC"/>
    <w:rsid w:val="0024488F"/>
    <w:rsid w:val="00264720"/>
    <w:rsid w:val="002729A7"/>
    <w:rsid w:val="00275889"/>
    <w:rsid w:val="002A45B9"/>
    <w:rsid w:val="002B535E"/>
    <w:rsid w:val="002B78AF"/>
    <w:rsid w:val="002C2F77"/>
    <w:rsid w:val="002D2D4E"/>
    <w:rsid w:val="00300A20"/>
    <w:rsid w:val="00302DF8"/>
    <w:rsid w:val="00303067"/>
    <w:rsid w:val="00306974"/>
    <w:rsid w:val="003106EB"/>
    <w:rsid w:val="003163EA"/>
    <w:rsid w:val="00322512"/>
    <w:rsid w:val="00331997"/>
    <w:rsid w:val="00355191"/>
    <w:rsid w:val="00356DDF"/>
    <w:rsid w:val="00363B5C"/>
    <w:rsid w:val="003714E9"/>
    <w:rsid w:val="00372FAB"/>
    <w:rsid w:val="003813EF"/>
    <w:rsid w:val="00387A9E"/>
    <w:rsid w:val="003A754E"/>
    <w:rsid w:val="003B0995"/>
    <w:rsid w:val="003C465D"/>
    <w:rsid w:val="003D280C"/>
    <w:rsid w:val="003D3CA5"/>
    <w:rsid w:val="003E1C8E"/>
    <w:rsid w:val="003F27F7"/>
    <w:rsid w:val="003F2E11"/>
    <w:rsid w:val="003F3A2A"/>
    <w:rsid w:val="00403595"/>
    <w:rsid w:val="004117CD"/>
    <w:rsid w:val="00441EB3"/>
    <w:rsid w:val="00445234"/>
    <w:rsid w:val="004575A2"/>
    <w:rsid w:val="00465CB9"/>
    <w:rsid w:val="00470FDB"/>
    <w:rsid w:val="00477FC7"/>
    <w:rsid w:val="004820CB"/>
    <w:rsid w:val="00483194"/>
    <w:rsid w:val="00484495"/>
    <w:rsid w:val="004902F0"/>
    <w:rsid w:val="0049087B"/>
    <w:rsid w:val="004937CE"/>
    <w:rsid w:val="00494B63"/>
    <w:rsid w:val="004B377C"/>
    <w:rsid w:val="004C0E32"/>
    <w:rsid w:val="004C2157"/>
    <w:rsid w:val="004D1A3C"/>
    <w:rsid w:val="004D47E4"/>
    <w:rsid w:val="004F0475"/>
    <w:rsid w:val="005005CF"/>
    <w:rsid w:val="00500859"/>
    <w:rsid w:val="00502479"/>
    <w:rsid w:val="00510CB7"/>
    <w:rsid w:val="005324F0"/>
    <w:rsid w:val="00556553"/>
    <w:rsid w:val="00556660"/>
    <w:rsid w:val="005602B9"/>
    <w:rsid w:val="00564180"/>
    <w:rsid w:val="00575BAB"/>
    <w:rsid w:val="0058294E"/>
    <w:rsid w:val="005846DB"/>
    <w:rsid w:val="005931B0"/>
    <w:rsid w:val="005A0074"/>
    <w:rsid w:val="005A67BC"/>
    <w:rsid w:val="005B6039"/>
    <w:rsid w:val="005B7AB5"/>
    <w:rsid w:val="005C6B80"/>
    <w:rsid w:val="005C7196"/>
    <w:rsid w:val="005D5C11"/>
    <w:rsid w:val="005D5D38"/>
    <w:rsid w:val="005E1375"/>
    <w:rsid w:val="005E18E4"/>
    <w:rsid w:val="005F20A3"/>
    <w:rsid w:val="005F21EB"/>
    <w:rsid w:val="006353FE"/>
    <w:rsid w:val="00650203"/>
    <w:rsid w:val="00667B9C"/>
    <w:rsid w:val="00671502"/>
    <w:rsid w:val="00675E47"/>
    <w:rsid w:val="00682083"/>
    <w:rsid w:val="006847FB"/>
    <w:rsid w:val="00684B88"/>
    <w:rsid w:val="00686CDF"/>
    <w:rsid w:val="00695640"/>
    <w:rsid w:val="006A462F"/>
    <w:rsid w:val="006A72BC"/>
    <w:rsid w:val="006B2576"/>
    <w:rsid w:val="006C4C15"/>
    <w:rsid w:val="006C4F86"/>
    <w:rsid w:val="006D7DC4"/>
    <w:rsid w:val="006E3D09"/>
    <w:rsid w:val="006F4E0D"/>
    <w:rsid w:val="006F792E"/>
    <w:rsid w:val="00710CC7"/>
    <w:rsid w:val="00711976"/>
    <w:rsid w:val="007262EB"/>
    <w:rsid w:val="00741264"/>
    <w:rsid w:val="00743677"/>
    <w:rsid w:val="00746352"/>
    <w:rsid w:val="00757D85"/>
    <w:rsid w:val="00760C49"/>
    <w:rsid w:val="00791D1A"/>
    <w:rsid w:val="0079330B"/>
    <w:rsid w:val="00793E8F"/>
    <w:rsid w:val="007A2E24"/>
    <w:rsid w:val="007A53FB"/>
    <w:rsid w:val="007B0445"/>
    <w:rsid w:val="007B5B82"/>
    <w:rsid w:val="007C0772"/>
    <w:rsid w:val="007C2DAD"/>
    <w:rsid w:val="007D1F58"/>
    <w:rsid w:val="007D72ED"/>
    <w:rsid w:val="007E060C"/>
    <w:rsid w:val="007E3A08"/>
    <w:rsid w:val="008169CB"/>
    <w:rsid w:val="0082013A"/>
    <w:rsid w:val="008238ED"/>
    <w:rsid w:val="00841634"/>
    <w:rsid w:val="008420F4"/>
    <w:rsid w:val="00843C91"/>
    <w:rsid w:val="00852E52"/>
    <w:rsid w:val="00861066"/>
    <w:rsid w:val="00863BCB"/>
    <w:rsid w:val="008875E6"/>
    <w:rsid w:val="0089167D"/>
    <w:rsid w:val="008A57F4"/>
    <w:rsid w:val="008B7EB4"/>
    <w:rsid w:val="008D224E"/>
    <w:rsid w:val="008D32B0"/>
    <w:rsid w:val="008E69AF"/>
    <w:rsid w:val="008F05DD"/>
    <w:rsid w:val="008F1730"/>
    <w:rsid w:val="008F2FCA"/>
    <w:rsid w:val="00900DF7"/>
    <w:rsid w:val="0091264E"/>
    <w:rsid w:val="00920005"/>
    <w:rsid w:val="009477F5"/>
    <w:rsid w:val="00950E85"/>
    <w:rsid w:val="00967D0D"/>
    <w:rsid w:val="00971068"/>
    <w:rsid w:val="00983A5B"/>
    <w:rsid w:val="0099137A"/>
    <w:rsid w:val="00993599"/>
    <w:rsid w:val="009A1DED"/>
    <w:rsid w:val="009A2DF8"/>
    <w:rsid w:val="009A30EA"/>
    <w:rsid w:val="009A350F"/>
    <w:rsid w:val="009B5A7F"/>
    <w:rsid w:val="009C13D8"/>
    <w:rsid w:val="009D5EE3"/>
    <w:rsid w:val="009E6489"/>
    <w:rsid w:val="00A01C00"/>
    <w:rsid w:val="00A32872"/>
    <w:rsid w:val="00A433FE"/>
    <w:rsid w:val="00A5309B"/>
    <w:rsid w:val="00A608B4"/>
    <w:rsid w:val="00A70D48"/>
    <w:rsid w:val="00A73990"/>
    <w:rsid w:val="00A863CB"/>
    <w:rsid w:val="00A87078"/>
    <w:rsid w:val="00AB026C"/>
    <w:rsid w:val="00AB3B48"/>
    <w:rsid w:val="00AC6044"/>
    <w:rsid w:val="00AE2E4B"/>
    <w:rsid w:val="00AF23F1"/>
    <w:rsid w:val="00AF7596"/>
    <w:rsid w:val="00B02362"/>
    <w:rsid w:val="00B2254E"/>
    <w:rsid w:val="00B24A16"/>
    <w:rsid w:val="00B30D14"/>
    <w:rsid w:val="00B630A2"/>
    <w:rsid w:val="00B63F2F"/>
    <w:rsid w:val="00B66564"/>
    <w:rsid w:val="00B748EB"/>
    <w:rsid w:val="00B76486"/>
    <w:rsid w:val="00BD7163"/>
    <w:rsid w:val="00BE0DAD"/>
    <w:rsid w:val="00BE5977"/>
    <w:rsid w:val="00BF3EBA"/>
    <w:rsid w:val="00BF5157"/>
    <w:rsid w:val="00C0729E"/>
    <w:rsid w:val="00C1544F"/>
    <w:rsid w:val="00C167D4"/>
    <w:rsid w:val="00C27D73"/>
    <w:rsid w:val="00C31971"/>
    <w:rsid w:val="00C4115A"/>
    <w:rsid w:val="00C43F5E"/>
    <w:rsid w:val="00C4590B"/>
    <w:rsid w:val="00C72E38"/>
    <w:rsid w:val="00C81316"/>
    <w:rsid w:val="00C83E34"/>
    <w:rsid w:val="00C902B1"/>
    <w:rsid w:val="00C90F52"/>
    <w:rsid w:val="00C92BEB"/>
    <w:rsid w:val="00CB0FF8"/>
    <w:rsid w:val="00CB6B3B"/>
    <w:rsid w:val="00CD49F7"/>
    <w:rsid w:val="00CD6EA4"/>
    <w:rsid w:val="00CE118E"/>
    <w:rsid w:val="00D03D28"/>
    <w:rsid w:val="00D16FC9"/>
    <w:rsid w:val="00D17FCB"/>
    <w:rsid w:val="00D22D19"/>
    <w:rsid w:val="00D24038"/>
    <w:rsid w:val="00D303AA"/>
    <w:rsid w:val="00D3169D"/>
    <w:rsid w:val="00D3574E"/>
    <w:rsid w:val="00D50499"/>
    <w:rsid w:val="00D55334"/>
    <w:rsid w:val="00D63EDC"/>
    <w:rsid w:val="00D6796F"/>
    <w:rsid w:val="00D7565B"/>
    <w:rsid w:val="00D86383"/>
    <w:rsid w:val="00DB08D8"/>
    <w:rsid w:val="00DC26A3"/>
    <w:rsid w:val="00DC3CC3"/>
    <w:rsid w:val="00DC4A69"/>
    <w:rsid w:val="00DF0B53"/>
    <w:rsid w:val="00DF3DB3"/>
    <w:rsid w:val="00E062A1"/>
    <w:rsid w:val="00E0764D"/>
    <w:rsid w:val="00E12A08"/>
    <w:rsid w:val="00E141DD"/>
    <w:rsid w:val="00E1678F"/>
    <w:rsid w:val="00E2032A"/>
    <w:rsid w:val="00E2091E"/>
    <w:rsid w:val="00E26A51"/>
    <w:rsid w:val="00E27A94"/>
    <w:rsid w:val="00E36B1A"/>
    <w:rsid w:val="00E37A9F"/>
    <w:rsid w:val="00E539D5"/>
    <w:rsid w:val="00E5759C"/>
    <w:rsid w:val="00E6421A"/>
    <w:rsid w:val="00E705FF"/>
    <w:rsid w:val="00E75E04"/>
    <w:rsid w:val="00E84715"/>
    <w:rsid w:val="00E85781"/>
    <w:rsid w:val="00E95294"/>
    <w:rsid w:val="00EA21D9"/>
    <w:rsid w:val="00EA39EB"/>
    <w:rsid w:val="00EA79F6"/>
    <w:rsid w:val="00EB7A55"/>
    <w:rsid w:val="00EC5C2A"/>
    <w:rsid w:val="00ED0878"/>
    <w:rsid w:val="00ED7E14"/>
    <w:rsid w:val="00EF013C"/>
    <w:rsid w:val="00EF5C83"/>
    <w:rsid w:val="00F131B7"/>
    <w:rsid w:val="00F551C6"/>
    <w:rsid w:val="00F55A19"/>
    <w:rsid w:val="00F61129"/>
    <w:rsid w:val="00F70825"/>
    <w:rsid w:val="00F81278"/>
    <w:rsid w:val="00F853EB"/>
    <w:rsid w:val="00F87EB9"/>
    <w:rsid w:val="00FA128D"/>
    <w:rsid w:val="00FA2D92"/>
    <w:rsid w:val="00FA3297"/>
    <w:rsid w:val="00FA41CD"/>
    <w:rsid w:val="00FB0142"/>
    <w:rsid w:val="00FC14D1"/>
    <w:rsid w:val="00FD61ED"/>
    <w:rsid w:val="00FF006B"/>
    <w:rsid w:val="5A476591"/>
    <w:rsid w:val="5E45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F783A-E4FA-4803-A3EB-5122688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89"/>
    <w:pPr>
      <w:widowControl w:val="0"/>
      <w:jc w:val="both"/>
    </w:pPr>
    <w:rPr>
      <w:rFonts w:ascii="Times New Roman" w:eastAsia="楷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889"/>
    <w:rPr>
      <w:sz w:val="18"/>
      <w:szCs w:val="18"/>
    </w:rPr>
  </w:style>
  <w:style w:type="paragraph" w:styleId="a4">
    <w:name w:val="footer"/>
    <w:basedOn w:val="a"/>
    <w:link w:val="Char0"/>
    <w:uiPriority w:val="99"/>
    <w:unhideWhenUsed/>
    <w:rsid w:val="0027588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7588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275889"/>
    <w:pPr>
      <w:widowControl/>
      <w:spacing w:before="100" w:beforeAutospacing="1" w:after="100" w:afterAutospacing="1"/>
      <w:jc w:val="left"/>
    </w:pPr>
    <w:rPr>
      <w:rFonts w:ascii="宋体" w:eastAsia="宋体" w:hAnsi="宋体" w:cs="宋体"/>
      <w:kern w:val="0"/>
      <w:szCs w:val="24"/>
    </w:rPr>
  </w:style>
  <w:style w:type="character" w:customStyle="1" w:styleId="Char1">
    <w:name w:val="页眉 Char"/>
    <w:basedOn w:val="a0"/>
    <w:link w:val="a5"/>
    <w:uiPriority w:val="99"/>
    <w:semiHidden/>
    <w:rsid w:val="00275889"/>
    <w:rPr>
      <w:sz w:val="18"/>
      <w:szCs w:val="18"/>
    </w:rPr>
  </w:style>
  <w:style w:type="character" w:customStyle="1" w:styleId="Char0">
    <w:name w:val="页脚 Char"/>
    <w:basedOn w:val="a0"/>
    <w:link w:val="a4"/>
    <w:uiPriority w:val="99"/>
    <w:rsid w:val="00275889"/>
    <w:rPr>
      <w:sz w:val="18"/>
      <w:szCs w:val="18"/>
    </w:rPr>
  </w:style>
  <w:style w:type="character" w:customStyle="1" w:styleId="Char">
    <w:name w:val="批注框文本 Char"/>
    <w:basedOn w:val="a0"/>
    <w:link w:val="a3"/>
    <w:uiPriority w:val="99"/>
    <w:semiHidden/>
    <w:rsid w:val="00275889"/>
    <w:rPr>
      <w:rFonts w:ascii="Times New Roman" w:eastAsia="楷体" w:hAnsi="Times New Roman"/>
      <w:sz w:val="18"/>
      <w:szCs w:val="18"/>
    </w:rPr>
  </w:style>
  <w:style w:type="paragraph" w:styleId="a7">
    <w:name w:val="List Paragraph"/>
    <w:basedOn w:val="a"/>
    <w:uiPriority w:val="34"/>
    <w:qFormat/>
    <w:rsid w:val="00FA128D"/>
    <w:pPr>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getOrder(true);" TargetMode="External"/><Relationship Id="rId13" Type="http://schemas.openxmlformats.org/officeDocument/2006/relationships/hyperlink" Target="http://kcb.sse.com.cn/renewal/xmxq/index.shtml?auditId=338&amp;anchor_type=0" TargetMode="External"/><Relationship Id="rId18" Type="http://schemas.openxmlformats.org/officeDocument/2006/relationships/hyperlink" Target="http://kcb.sse.com.cn/renewal/xmxq/index.shtml?auditId=331&amp;anchor_type=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cb.sse.com.cn/renewal/xmxq/index.shtml?auditId=261&amp;anchor_type=0" TargetMode="External"/><Relationship Id="rId17" Type="http://schemas.openxmlformats.org/officeDocument/2006/relationships/hyperlink" Target="http://kcb.sse.com.cn/renewal/xmxq/index.shtml?auditId=184&amp;anchor_type=0" TargetMode="External"/><Relationship Id="rId2" Type="http://schemas.openxmlformats.org/officeDocument/2006/relationships/numbering" Target="numbering.xml"/><Relationship Id="rId16" Type="http://schemas.openxmlformats.org/officeDocument/2006/relationships/hyperlink" Target="http://kcb.sse.com.cn/renewal/xmxq/index.shtml?auditId=192&amp;anchor_type=0" TargetMode="External"/><Relationship Id="rId20" Type="http://schemas.openxmlformats.org/officeDocument/2006/relationships/hyperlink" Target="http://kcb.sse.com.cn/renewal/xmxq/index.shtml?auditId=197&amp;anchor_typ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b.sse.com.cn/renewal/xmxq/index.shtml?auditId=177&amp;anchor_type=0" TargetMode="External"/><Relationship Id="rId5" Type="http://schemas.openxmlformats.org/officeDocument/2006/relationships/webSettings" Target="webSettings.xml"/><Relationship Id="rId15" Type="http://schemas.openxmlformats.org/officeDocument/2006/relationships/hyperlink" Target="http://kcb.sse.com.cn/renewal/xmxq/index.shtml?auditId=200&amp;anchor_type=0" TargetMode="External"/><Relationship Id="rId23" Type="http://schemas.openxmlformats.org/officeDocument/2006/relationships/theme" Target="theme/theme1.xml"/><Relationship Id="rId10" Type="http://schemas.openxmlformats.org/officeDocument/2006/relationships/hyperlink" Target="http://kcb.sse.com.cn/renewal/xmxq/index.shtml?auditId=30&amp;anchor_type=0" TargetMode="External"/><Relationship Id="rId19" Type="http://schemas.openxmlformats.org/officeDocument/2006/relationships/hyperlink" Target="http://kcb.sse.com.cn/renewal/xmxq/index.shtml?auditId=335&amp;anchor_type=0" TargetMode="External"/><Relationship Id="rId4" Type="http://schemas.openxmlformats.org/officeDocument/2006/relationships/settings" Target="settings.xml"/><Relationship Id="rId9" Type="http://schemas.openxmlformats.org/officeDocument/2006/relationships/hyperlink" Target="javascript:getOrder(false);" TargetMode="External"/><Relationship Id="rId14" Type="http://schemas.openxmlformats.org/officeDocument/2006/relationships/hyperlink" Target="http://kcb.sse.com.cn/renewal/xmxq/index.shtml?auditId=312&amp;anchor_type=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圣大律所</dc:creator>
  <cp:lastModifiedBy>圣大律所</cp:lastModifiedBy>
  <cp:revision>5</cp:revision>
  <cp:lastPrinted>2020-02-04T15:16:00Z</cp:lastPrinted>
  <dcterms:created xsi:type="dcterms:W3CDTF">2020-02-05T12:15:00Z</dcterms:created>
  <dcterms:modified xsi:type="dcterms:W3CDTF">2020-02-18T01:20:00Z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